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rPr>
          <w:rFonts w:hint="default" w:ascii="Arial" w:hAnsi="Arial" w:eastAsia="宋体" w:cs="Arial"/>
          <w:bCs/>
          <w:szCs w:val="20"/>
          <w:lang w:val="en-US" w:eastAsia="zh-CN"/>
        </w:rPr>
      </w:pPr>
      <w:r>
        <w:rPr>
          <w:rFonts w:ascii="Arial" w:hAnsi="Arial" w:eastAsia="Times New Roman" w:cs="Arial"/>
          <w:bCs/>
          <w:szCs w:val="20"/>
          <w:lang w:eastAsia="en-GB"/>
        </w:rPr>
        <w:t>3GPP TSG-RAN WG3 Meeting #12</w:t>
      </w:r>
      <w:r>
        <w:rPr>
          <w:rFonts w:hint="eastAsia" w:ascii="Arial" w:hAnsi="Arial" w:eastAsia="宋体" w:cs="Arial"/>
          <w:bCs/>
          <w:szCs w:val="20"/>
          <w:lang w:val="en-US" w:eastAsia="zh-CN"/>
        </w:rPr>
        <w:t>9</w:t>
      </w:r>
      <w:r>
        <w:rPr>
          <w:rFonts w:ascii="Arial" w:hAnsi="Arial" w:eastAsia="Times New Roman" w:cs="Arial"/>
          <w:bCs/>
          <w:szCs w:val="20"/>
          <w:lang w:eastAsia="en-GB"/>
        </w:rPr>
        <w:tab/>
      </w:r>
      <w:r>
        <w:rPr>
          <w:rFonts w:hint="eastAsia" w:ascii="Arial" w:hAnsi="Arial" w:eastAsia="Times New Roman" w:cs="Arial"/>
          <w:bCs/>
          <w:szCs w:val="20"/>
          <w:lang w:eastAsia="en-GB"/>
        </w:rPr>
        <w:t>R3-255738</w:t>
      </w:r>
      <w:bookmarkStart w:id="3" w:name="_GoBack"/>
      <w:bookmarkEnd w:id="3"/>
    </w:p>
    <w:p>
      <w:pPr>
        <w:pStyle w:val="45"/>
        <w:rPr>
          <w:rFonts w:ascii="Arial" w:hAnsi="Arial" w:cs="Arial" w:eastAsiaTheme="minorEastAsia"/>
          <w:bCs/>
          <w:szCs w:val="20"/>
          <w:lang w:eastAsia="zh-CN"/>
        </w:rPr>
      </w:pPr>
      <w:r>
        <w:rPr>
          <w:rFonts w:hint="eastAsia" w:ascii="Arial" w:hAnsi="Arial" w:eastAsia="宋体" w:cs="Arial"/>
          <w:bCs/>
          <w:szCs w:val="20"/>
          <w:lang w:val="en-US" w:eastAsia="zh-CN"/>
        </w:rPr>
        <w:t>Bengaluru</w:t>
      </w:r>
      <w:r>
        <w:rPr>
          <w:rFonts w:ascii="Arial" w:hAnsi="Arial" w:eastAsia="Times New Roman" w:cs="Arial"/>
          <w:bCs/>
          <w:szCs w:val="20"/>
          <w:lang w:eastAsia="en-GB"/>
        </w:rPr>
        <w:t xml:space="preserve">, </w:t>
      </w:r>
      <w:r>
        <w:rPr>
          <w:rFonts w:hint="eastAsia" w:ascii="Arial" w:hAnsi="Arial" w:eastAsia="宋体" w:cs="Arial"/>
          <w:bCs/>
          <w:szCs w:val="20"/>
          <w:lang w:val="en-US" w:eastAsia="zh-CN"/>
        </w:rPr>
        <w:t>India</w:t>
      </w:r>
      <w:r>
        <w:rPr>
          <w:rFonts w:ascii="Arial" w:hAnsi="Arial" w:eastAsia="Times New Roman" w:cs="Arial"/>
          <w:bCs/>
          <w:szCs w:val="20"/>
          <w:lang w:eastAsia="en-GB"/>
        </w:rPr>
        <w:t xml:space="preserve">, </w:t>
      </w:r>
      <w:r>
        <w:rPr>
          <w:rFonts w:hint="eastAsia" w:ascii="Arial" w:hAnsi="Arial" w:eastAsia="宋体" w:cs="Arial"/>
          <w:bCs/>
          <w:szCs w:val="20"/>
          <w:lang w:val="en-US" w:eastAsia="zh-CN"/>
        </w:rPr>
        <w:t>Aug 25</w:t>
      </w:r>
      <w:r>
        <w:rPr>
          <w:rFonts w:hint="eastAsia" w:ascii="Arial" w:hAnsi="Arial" w:eastAsia="宋体" w:cs="Arial"/>
          <w:bCs/>
          <w:szCs w:val="20"/>
          <w:lang w:eastAsia="zh-CN"/>
        </w:rPr>
        <w:t xml:space="preserve"> </w:t>
      </w:r>
      <w:r>
        <w:rPr>
          <w:rFonts w:ascii="Arial" w:hAnsi="Arial" w:eastAsia="Times New Roman" w:cs="Arial"/>
          <w:bCs/>
          <w:szCs w:val="20"/>
          <w:lang w:eastAsia="en-GB"/>
        </w:rPr>
        <w:t>–</w:t>
      </w:r>
      <w:r>
        <w:rPr>
          <w:rFonts w:hint="eastAsia" w:ascii="Arial" w:hAnsi="Arial" w:eastAsia="宋体" w:cs="Arial"/>
          <w:bCs/>
          <w:szCs w:val="20"/>
          <w:lang w:val="en-US" w:eastAsia="zh-CN"/>
        </w:rPr>
        <w:t xml:space="preserve"> 30</w:t>
      </w:r>
      <w:r>
        <w:rPr>
          <w:rFonts w:ascii="Arial" w:hAnsi="Arial" w:eastAsia="Times New Roman" w:cs="Arial"/>
          <w:bCs/>
          <w:szCs w:val="20"/>
          <w:lang w:eastAsia="en-GB"/>
        </w:rPr>
        <w:t>, 2025</w:t>
      </w:r>
    </w:p>
    <w:p>
      <w:pPr>
        <w:pStyle w:val="45"/>
        <w:rPr>
          <w:rFonts w:eastAsiaTheme="minorEastAsia"/>
          <w:lang w:eastAsia="zh-CN"/>
        </w:rPr>
      </w:pPr>
      <w:r>
        <w:t>Agenda Item:</w:t>
      </w:r>
      <w:r>
        <w:tab/>
      </w:r>
      <w:r>
        <w:t>9.2</w:t>
      </w:r>
    </w:p>
    <w:p>
      <w:pPr>
        <w:pStyle w:val="45"/>
        <w:rPr>
          <w:rFonts w:hint="eastAsia" w:eastAsia="宋体"/>
          <w:lang w:eastAsia="zh-CN"/>
        </w:rPr>
      </w:pPr>
      <w:r>
        <w:t>Source:</w:t>
      </w:r>
      <w:r>
        <w:tab/>
      </w:r>
      <w:r>
        <w:rPr>
          <w:rFonts w:hint="eastAsia" w:eastAsia="宋体"/>
          <w:lang w:eastAsia="zh-CN"/>
        </w:rPr>
        <w:t>ZTE Corporation</w:t>
      </w:r>
    </w:p>
    <w:p>
      <w:pPr>
        <w:pStyle w:val="45"/>
        <w:rPr>
          <w:rFonts w:eastAsiaTheme="minorEastAsia"/>
          <w:lang w:val="en-GB" w:eastAsia="zh-CN"/>
        </w:rPr>
      </w:pPr>
      <w:r>
        <w:rPr>
          <w:lang w:val="en-GB"/>
        </w:rPr>
        <w:t>Title:</w:t>
      </w:r>
      <w:r>
        <w:rPr>
          <w:lang w:val="en-GB"/>
        </w:rPr>
        <w:tab/>
      </w:r>
      <w:r>
        <w:rPr>
          <w:rFonts w:hint="eastAsia" w:eastAsia="宋体"/>
          <w:lang w:val="en-US" w:eastAsia="zh-CN"/>
        </w:rPr>
        <w:t xml:space="preserve">PLMN selection during </w:t>
      </w:r>
      <w:r>
        <w:rPr>
          <w:lang w:val="en-GB"/>
        </w:rPr>
        <w:t>UE context retrieval</w:t>
      </w:r>
    </w:p>
    <w:p>
      <w:pPr>
        <w:pStyle w:val="45"/>
      </w:pPr>
      <w:r>
        <w:t>Document for:</w:t>
      </w:r>
      <w:r>
        <w:tab/>
      </w:r>
      <w:r>
        <w:t>Approval</w:t>
      </w:r>
    </w:p>
    <w:p>
      <w:pPr>
        <w:pStyle w:val="6"/>
      </w:pPr>
      <w:r>
        <w:rPr>
          <w:rFonts w:hint="eastAsia" w:eastAsia="宋体"/>
          <w:lang w:val="en-US" w:eastAsia="zh-CN"/>
        </w:rPr>
        <w:t>Introduction</w:t>
      </w:r>
    </w:p>
    <w:p>
      <w:pPr>
        <w:pStyle w:val="2"/>
        <w:ind w:left="0" w:firstLine="0"/>
        <w:rPr>
          <w:rFonts w:hint="default" w:eastAsia="宋体"/>
          <w:lang w:val="en-US" w:eastAsia="zh-CN"/>
        </w:rPr>
      </w:pPr>
      <w:r>
        <w:rPr>
          <w:rFonts w:hint="eastAsia" w:eastAsia="宋体"/>
          <w:lang w:val="en-US" w:eastAsia="zh-CN"/>
        </w:rPr>
        <w:t>During RAN3#128bis meeting, there was no agreement after c</w:t>
      </w:r>
      <w:r>
        <w:rPr>
          <w:rFonts w:hint="eastAsia" w:eastAsia="宋体"/>
          <w:lang w:val="en-US" w:eastAsia="en-US"/>
        </w:rPr>
        <w:t>heck</w:t>
      </w:r>
      <w:r>
        <w:rPr>
          <w:rFonts w:hint="eastAsia" w:eastAsia="宋体"/>
          <w:lang w:val="en-US" w:eastAsia="zh-CN"/>
        </w:rPr>
        <w:t>ed</w:t>
      </w:r>
      <w:r>
        <w:rPr>
          <w:rFonts w:hint="eastAsia" w:eastAsia="宋体"/>
          <w:lang w:val="en-US" w:eastAsia="en-US"/>
        </w:rPr>
        <w:t xml:space="preserve"> the Resume case on PLMN selection and when the MDT configuration/MRL needs to be transferred to the new gNB</w:t>
      </w:r>
      <w:r>
        <w:rPr>
          <w:rFonts w:hint="eastAsia" w:eastAsia="宋体"/>
          <w:lang w:val="en-US" w:eastAsia="zh-CN"/>
        </w:rPr>
        <w:t>. The following is the progress:</w:t>
      </w:r>
    </w:p>
    <w:p>
      <w:pPr>
        <w:pStyle w:val="2"/>
        <w:ind w:left="0" w:firstLine="0"/>
      </w:pPr>
      <w:r>
        <w:t>For RRC Reestablishment:</w:t>
      </w:r>
    </w:p>
    <w:p>
      <w:pPr>
        <w:pStyle w:val="2"/>
        <w:ind w:left="0" w:firstLine="0"/>
        <w:rPr>
          <w:rFonts w:cs="Calibri"/>
          <w:bCs/>
          <w:color w:val="0000FF"/>
          <w:sz w:val="18"/>
        </w:rPr>
      </w:pPr>
      <w:r>
        <w:rPr>
          <w:rFonts w:cs="Calibri"/>
          <w:bCs/>
          <w:color w:val="0000FF"/>
          <w:sz w:val="18"/>
        </w:rPr>
        <w:t>The PLMN selection action is performed by the UE and UE shall only consider candidate cells that belong to the same PLMN, During the UE context retrieval procedure, the old gNB does not update the served PLMN of the UE.</w:t>
      </w:r>
    </w:p>
    <w:p>
      <w:pPr>
        <w:pStyle w:val="2"/>
        <w:ind w:left="0" w:firstLine="0"/>
      </w:pPr>
      <w:r>
        <w:t xml:space="preserve">For RRC Resume procedure:  </w:t>
      </w:r>
    </w:p>
    <w:p>
      <w:pPr>
        <w:pStyle w:val="2"/>
        <w:ind w:left="0" w:firstLine="0"/>
        <w:rPr>
          <w:rFonts w:cs="Calibri"/>
          <w:bCs/>
          <w:color w:val="0000FF"/>
          <w:sz w:val="18"/>
        </w:rPr>
      </w:pPr>
      <w:r>
        <w:rPr>
          <w:rFonts w:cs="Calibri"/>
          <w:bCs/>
          <w:color w:val="0000FF"/>
          <w:sz w:val="18"/>
        </w:rPr>
        <w:t>The PLMN selection action is performed by the UE, and the UE informs the new gNB of selected PLMN in RRCResumeComplete message. During the UE context retrieval procedure, the old gNB does not update the served PLMN of the UE.</w:t>
      </w:r>
    </w:p>
    <w:p>
      <w:pPr>
        <w:pStyle w:val="2"/>
        <w:ind w:left="0" w:firstLine="0"/>
        <w:rPr>
          <w:rFonts w:cs="Calibri"/>
          <w:bCs/>
          <w:color w:val="0000FF"/>
          <w:sz w:val="18"/>
        </w:rPr>
      </w:pPr>
      <w:r>
        <w:rPr>
          <w:rFonts w:cs="Calibri"/>
          <w:bCs/>
          <w:color w:val="0000FF"/>
          <w:sz w:val="18"/>
        </w:rPr>
        <w:t>To be continue</w:t>
      </w:r>
    </w:p>
    <w:p>
      <w:pPr>
        <w:pStyle w:val="2"/>
        <w:ind w:left="0" w:firstLine="0"/>
        <w:rPr>
          <w:rFonts w:hint="default" w:cs="Calibri"/>
          <w:bCs/>
          <w:color w:val="0000FF"/>
          <w:sz w:val="18"/>
          <w:lang w:val="en-US"/>
        </w:rPr>
      </w:pPr>
      <w:r>
        <w:rPr>
          <w:rFonts w:hint="eastAsia" w:eastAsia="宋体"/>
          <w:lang w:val="en-US" w:eastAsia="zh-CN"/>
        </w:rPr>
        <w:t>This contribution provide our analysis on this topic.</w:t>
      </w:r>
    </w:p>
    <w:p>
      <w:pPr>
        <w:pStyle w:val="6"/>
        <w:spacing w:line="259" w:lineRule="auto"/>
        <w:rPr>
          <w:rFonts w:eastAsiaTheme="minorEastAsia"/>
          <w:lang w:eastAsia="zh-CN"/>
        </w:rPr>
      </w:pPr>
      <w:r>
        <w:t>Discussion</w:t>
      </w:r>
    </w:p>
    <w:p>
      <w:pPr>
        <w:pStyle w:val="7"/>
        <w:rPr>
          <w:lang w:eastAsia="zh-CN"/>
        </w:rPr>
      </w:pPr>
      <w:r>
        <w:rPr>
          <w:lang w:eastAsia="zh-CN"/>
        </w:rPr>
        <w:t xml:space="preserve">How </w:t>
      </w:r>
      <w:r>
        <w:rPr>
          <w:rFonts w:hint="eastAsia"/>
          <w:lang w:val="en-US" w:eastAsia="zh-CN"/>
        </w:rPr>
        <w:t xml:space="preserve">does </w:t>
      </w:r>
      <w:r>
        <w:rPr>
          <w:lang w:eastAsia="zh-CN"/>
        </w:rPr>
        <w:t xml:space="preserve">PLMN </w:t>
      </w:r>
      <w:r>
        <w:rPr>
          <w:rFonts w:hint="eastAsia"/>
          <w:lang w:val="en-US" w:eastAsia="zh-CN"/>
        </w:rPr>
        <w:t xml:space="preserve">selection performed </w:t>
      </w:r>
      <w:r>
        <w:rPr>
          <w:lang w:eastAsia="zh-CN"/>
        </w:rPr>
        <w:t>during RRC Resume procedure:</w:t>
      </w:r>
    </w:p>
    <w:p>
      <w:pPr>
        <w:pStyle w:val="65"/>
      </w:pPr>
      <w:r>
        <w:rPr>
          <w:b w:val="0"/>
        </w:rPr>
        <w:object>
          <v:shape id="_x0000_i1025" o:spt="75" type="#_x0000_t75" style="height:267.6pt;width:376.95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pPr>
        <w:pStyle w:val="67"/>
      </w:pPr>
      <w:r>
        <w:t xml:space="preserve"> UE triggered transition from RRC_INACTIVE to RRC_CONNECTED</w:t>
      </w:r>
      <w:r>
        <w:br w:type="textWrapping"/>
      </w:r>
      <w:r>
        <w:t>(UE context retrieval success)</w:t>
      </w:r>
    </w:p>
    <w:p>
      <w:pPr>
        <w:numPr>
          <w:ilvl w:val="0"/>
          <w:numId w:val="5"/>
        </w:numPr>
        <w:spacing w:before="100" w:beforeAutospacing="1" w:after="100" w:afterAutospacing="1"/>
        <w:rPr>
          <w:rFonts w:eastAsia="Times New Roman"/>
          <w:sz w:val="24"/>
          <w:lang w:eastAsia="zh-CN"/>
        </w:rPr>
      </w:pPr>
      <w:r>
        <w:rPr>
          <w:rFonts w:eastAsia="Times New Roman"/>
          <w:b/>
          <w:bCs/>
          <w:sz w:val="24"/>
          <w:lang w:eastAsia="zh-CN"/>
        </w:rPr>
        <w:t>PLMN selection is performed by the UE</w:t>
      </w:r>
      <w:r>
        <w:rPr>
          <w:rFonts w:eastAsia="Times New Roman"/>
          <w:sz w:val="24"/>
          <w:lang w:eastAsia="zh-CN"/>
        </w:rPr>
        <w:t xml:space="preserve">. The UE has the capability to support PLMN selection while in RRC_INACTIVE state. More importantly, when performing the RRC connection resume procedure, the UE obtains the list of available PLMNs (via the </w:t>
      </w:r>
      <w:r>
        <w:rPr>
          <w:rFonts w:ascii="Courier New" w:hAnsi="Courier New" w:eastAsia="Times New Roman" w:cs="Courier New"/>
          <w:sz w:val="20"/>
          <w:szCs w:val="20"/>
          <w:lang w:eastAsia="zh-CN"/>
        </w:rPr>
        <w:t>plmn-IdentityInfoList</w:t>
      </w:r>
      <w:r>
        <w:rPr>
          <w:rFonts w:eastAsia="Times New Roman"/>
          <w:sz w:val="24"/>
          <w:lang w:eastAsia="zh-CN"/>
        </w:rPr>
        <w:t xml:space="preserve"> or </w:t>
      </w:r>
      <w:r>
        <w:rPr>
          <w:rFonts w:ascii="Courier New" w:hAnsi="Courier New" w:eastAsia="Times New Roman" w:cs="Courier New"/>
          <w:sz w:val="20"/>
          <w:szCs w:val="20"/>
          <w:lang w:eastAsia="zh-CN"/>
        </w:rPr>
        <w:t>npn-IdentityInfoList</w:t>
      </w:r>
      <w:r>
        <w:rPr>
          <w:rFonts w:eastAsia="Times New Roman"/>
          <w:sz w:val="24"/>
          <w:lang w:eastAsia="zh-CN"/>
        </w:rPr>
        <w:t xml:space="preserve"> fields) from the </w:t>
      </w:r>
      <w:r>
        <w:rPr>
          <w:rFonts w:eastAsia="Times New Roman"/>
          <w:b/>
          <w:bCs/>
          <w:sz w:val="24"/>
          <w:lang w:eastAsia="zh-CN"/>
        </w:rPr>
        <w:t>SIB1</w:t>
      </w:r>
      <w:r>
        <w:rPr>
          <w:rFonts w:eastAsia="Times New Roman"/>
          <w:sz w:val="24"/>
          <w:lang w:eastAsia="zh-CN"/>
        </w:rPr>
        <w:t xml:space="preserve"> broadcasted by the current cell.</w:t>
      </w:r>
    </w:p>
    <w:p>
      <w:pPr>
        <w:numPr>
          <w:ilvl w:val="0"/>
          <w:numId w:val="5"/>
        </w:numPr>
        <w:spacing w:before="100" w:beforeAutospacing="1" w:after="100" w:afterAutospacing="1"/>
        <w:rPr>
          <w:rFonts w:eastAsia="Times New Roman"/>
          <w:sz w:val="24"/>
          <w:lang w:eastAsia="zh-CN"/>
        </w:rPr>
      </w:pPr>
      <w:r>
        <w:rPr>
          <w:rFonts w:eastAsia="Times New Roman"/>
          <w:b/>
          <w:bCs/>
          <w:sz w:val="24"/>
          <w:lang w:eastAsia="zh-CN"/>
        </w:rPr>
        <w:t xml:space="preserve">The UE notifies the new gNB of the selected PLMN's index via the </w:t>
      </w:r>
      <w:r>
        <w:rPr>
          <w:rFonts w:ascii="Courier New" w:hAnsi="Courier New" w:eastAsia="Times New Roman" w:cs="Courier New"/>
          <w:b/>
          <w:bCs/>
          <w:sz w:val="20"/>
          <w:szCs w:val="20"/>
          <w:lang w:eastAsia="zh-CN"/>
        </w:rPr>
        <w:t>RRCResumeComplete</w:t>
      </w:r>
      <w:r>
        <w:rPr>
          <w:rFonts w:eastAsia="Times New Roman"/>
          <w:b/>
          <w:bCs/>
          <w:sz w:val="24"/>
          <w:lang w:eastAsia="zh-CN"/>
        </w:rPr>
        <w:t xml:space="preserve"> message[ANNEX 1]</w:t>
      </w:r>
      <w:r>
        <w:rPr>
          <w:rFonts w:eastAsia="Times New Roman"/>
          <w:sz w:val="24"/>
          <w:lang w:eastAsia="zh-CN"/>
        </w:rPr>
        <w:t xml:space="preserve">. In a successful RRC connection resume procedure, the UE sends an </w:t>
      </w:r>
      <w:r>
        <w:rPr>
          <w:rFonts w:ascii="Courier New" w:hAnsi="Courier New" w:eastAsia="Times New Roman" w:cs="Courier New"/>
          <w:sz w:val="20"/>
          <w:szCs w:val="20"/>
          <w:lang w:eastAsia="zh-CN"/>
        </w:rPr>
        <w:t>RRCResumeComplete</w:t>
      </w:r>
      <w:r>
        <w:rPr>
          <w:rFonts w:eastAsia="Times New Roman"/>
          <w:sz w:val="24"/>
          <w:lang w:eastAsia="zh-CN"/>
        </w:rPr>
        <w:t xml:space="preserve"> message to complete the process. This message includes an optional Information Element (IE) called </w:t>
      </w:r>
      <w:r>
        <w:rPr>
          <w:rFonts w:ascii="Courier New" w:hAnsi="Courier New" w:eastAsia="Times New Roman" w:cs="Courier New"/>
          <w:b/>
          <w:bCs/>
          <w:sz w:val="20"/>
          <w:szCs w:val="20"/>
          <w:lang w:eastAsia="zh-CN"/>
        </w:rPr>
        <w:t>selectedPLMN-Identity</w:t>
      </w:r>
      <w:r>
        <w:rPr>
          <w:rFonts w:eastAsia="Times New Roman"/>
          <w:sz w:val="24"/>
          <w:lang w:eastAsia="zh-CN"/>
        </w:rPr>
        <w:t>.</w:t>
      </w:r>
    </w:p>
    <w:p>
      <w:pPr>
        <w:numPr>
          <w:ilvl w:val="0"/>
          <w:numId w:val="5"/>
        </w:numPr>
        <w:spacing w:before="100" w:beforeAutospacing="1" w:after="100" w:afterAutospacing="1"/>
        <w:rPr>
          <w:rFonts w:eastAsia="Times New Roman"/>
          <w:sz w:val="24"/>
          <w:lang w:eastAsia="zh-CN"/>
        </w:rPr>
      </w:pPr>
      <w:r>
        <w:rPr>
          <w:rFonts w:eastAsia="Times New Roman"/>
          <w:b/>
          <w:bCs/>
          <w:sz w:val="24"/>
          <w:lang w:eastAsia="zh-CN"/>
        </w:rPr>
        <w:t xml:space="preserve">Meaning of the </w:t>
      </w:r>
      <w:r>
        <w:rPr>
          <w:rFonts w:ascii="Courier New" w:hAnsi="Courier New" w:eastAsia="Times New Roman" w:cs="Courier New"/>
          <w:b/>
          <w:bCs/>
          <w:sz w:val="20"/>
          <w:szCs w:val="20"/>
          <w:lang w:eastAsia="zh-CN"/>
        </w:rPr>
        <w:t>selectedPLMN-Identity</w:t>
      </w:r>
      <w:r>
        <w:rPr>
          <w:rFonts w:eastAsia="Times New Roman"/>
          <w:b/>
          <w:bCs/>
          <w:sz w:val="24"/>
          <w:lang w:eastAsia="zh-CN"/>
        </w:rPr>
        <w:t xml:space="preserve"> field</w:t>
      </w:r>
      <w:r>
        <w:rPr>
          <w:rFonts w:eastAsia="Times New Roman"/>
          <w:sz w:val="24"/>
          <w:lang w:eastAsia="zh-CN"/>
        </w:rPr>
        <w:t xml:space="preserve">: The value of this field is the </w:t>
      </w:r>
      <w:r>
        <w:rPr>
          <w:rFonts w:eastAsia="Times New Roman"/>
          <w:b/>
          <w:bCs/>
          <w:sz w:val="24"/>
          <w:lang w:eastAsia="zh-CN"/>
        </w:rPr>
        <w:t>index</w:t>
      </w:r>
      <w:r>
        <w:rPr>
          <w:rFonts w:eastAsia="Times New Roman"/>
          <w:sz w:val="24"/>
          <w:lang w:eastAsia="zh-CN"/>
        </w:rPr>
        <w:t xml:space="preserve"> of the PLMN that the UE selected from the list of PLMNs broadcasted in the SIB1 of the current cell (</w:t>
      </w:r>
      <w:r>
        <w:rPr>
          <w:rFonts w:ascii="Courier New" w:hAnsi="Courier New" w:eastAsia="Times New Roman" w:cs="Courier New"/>
          <w:sz w:val="20"/>
          <w:szCs w:val="20"/>
          <w:lang w:eastAsia="zh-CN"/>
        </w:rPr>
        <w:t>plmn-IdentityInfoList</w:t>
      </w:r>
      <w:r>
        <w:rPr>
          <w:rFonts w:eastAsia="Times New Roman"/>
          <w:sz w:val="24"/>
          <w:lang w:eastAsia="zh-CN"/>
        </w:rPr>
        <w:t xml:space="preserve"> or </w:t>
      </w:r>
      <w:r>
        <w:rPr>
          <w:rFonts w:ascii="Courier New" w:hAnsi="Courier New" w:eastAsia="Times New Roman" w:cs="Courier New"/>
          <w:sz w:val="20"/>
          <w:szCs w:val="20"/>
          <w:lang w:eastAsia="zh-CN"/>
        </w:rPr>
        <w:t>npn-IdentityInfoList</w:t>
      </w:r>
      <w:r>
        <w:rPr>
          <w:rFonts w:eastAsia="Times New Roman"/>
          <w:sz w:val="24"/>
          <w:lang w:eastAsia="zh-CN"/>
        </w:rPr>
        <w:t>).</w:t>
      </w:r>
    </w:p>
    <w:p>
      <w:pPr>
        <w:numPr>
          <w:ilvl w:val="0"/>
          <w:numId w:val="5"/>
        </w:numPr>
        <w:spacing w:before="100" w:beforeAutospacing="1" w:after="100" w:afterAutospacing="1"/>
        <w:rPr>
          <w:rFonts w:eastAsia="Times New Roman"/>
          <w:sz w:val="24"/>
          <w:lang w:eastAsia="zh-CN"/>
        </w:rPr>
      </w:pPr>
      <w:r>
        <w:rPr>
          <w:rFonts w:eastAsia="Times New Roman"/>
          <w:b/>
          <w:bCs/>
          <w:sz w:val="24"/>
          <w:lang w:eastAsia="zh-CN"/>
        </w:rPr>
        <w:t>During UE transmit from RRC-INACTIVE to RRC-CONNECTED procedure</w:t>
      </w:r>
      <w:r>
        <w:rPr>
          <w:rFonts w:eastAsia="Times New Roman"/>
          <w:sz w:val="24"/>
          <w:lang w:eastAsia="zh-CN"/>
        </w:rPr>
        <w:t xml:space="preserve">: </w:t>
      </w:r>
    </w:p>
    <w:p>
      <w:pPr>
        <w:numPr>
          <w:ilvl w:val="1"/>
          <w:numId w:val="5"/>
        </w:numPr>
        <w:spacing w:before="100" w:beforeAutospacing="1" w:after="100" w:afterAutospacing="1"/>
        <w:rPr>
          <w:rFonts w:eastAsia="Times New Roman"/>
          <w:sz w:val="24"/>
          <w:lang w:eastAsia="zh-CN"/>
        </w:rPr>
      </w:pPr>
      <w:r>
        <w:rPr>
          <w:rFonts w:eastAsia="Times New Roman"/>
          <w:sz w:val="24"/>
          <w:lang w:eastAsia="zh-CN"/>
        </w:rPr>
        <w:t xml:space="preserve">The UE first initiates the procedure by sending an </w:t>
      </w:r>
      <w:r>
        <w:rPr>
          <w:rFonts w:ascii="Courier New" w:hAnsi="Courier New" w:eastAsia="Times New Roman" w:cs="Courier New"/>
          <w:sz w:val="20"/>
          <w:szCs w:val="20"/>
          <w:lang w:eastAsia="zh-CN"/>
        </w:rPr>
        <w:t>RRCResumeRequest</w:t>
      </w:r>
      <w:r>
        <w:rPr>
          <w:rFonts w:eastAsia="Times New Roman"/>
          <w:sz w:val="24"/>
          <w:lang w:eastAsia="zh-CN"/>
        </w:rPr>
        <w:t xml:space="preserve"> message. This message contains the UE's identity (like I-RNTI) and the resume cause.</w:t>
      </w:r>
    </w:p>
    <w:p>
      <w:pPr>
        <w:numPr>
          <w:ilvl w:val="1"/>
          <w:numId w:val="5"/>
        </w:numPr>
        <w:spacing w:before="100" w:beforeAutospacing="1" w:after="100" w:afterAutospacing="1"/>
        <w:rPr>
          <w:rFonts w:eastAsia="Times New Roman"/>
          <w:sz w:val="24"/>
          <w:lang w:eastAsia="zh-CN"/>
        </w:rPr>
      </w:pPr>
      <w:r>
        <w:rPr>
          <w:rFonts w:eastAsia="Times New Roman"/>
          <w:sz w:val="24"/>
          <w:lang w:eastAsia="zh-CN"/>
        </w:rPr>
        <w:t xml:space="preserve">Upon receiving the </w:t>
      </w:r>
      <w:r>
        <w:rPr>
          <w:rFonts w:ascii="Courier New" w:hAnsi="Courier New" w:eastAsia="Times New Roman" w:cs="Courier New"/>
          <w:sz w:val="20"/>
          <w:szCs w:val="20"/>
          <w:lang w:eastAsia="zh-CN"/>
        </w:rPr>
        <w:t>RRCResumeRequest</w:t>
      </w:r>
      <w:r>
        <w:rPr>
          <w:rFonts w:eastAsia="Times New Roman"/>
          <w:sz w:val="24"/>
          <w:lang w:eastAsia="zh-CN"/>
        </w:rPr>
        <w:t>, the new gNB attempts to retrieve the UE context. This context contains the PLMN information the UE was served by before entering the RRC_INACTIVE state.</w:t>
      </w:r>
    </w:p>
    <w:p>
      <w:pPr>
        <w:numPr>
          <w:ilvl w:val="1"/>
          <w:numId w:val="5"/>
        </w:numPr>
        <w:spacing w:before="100" w:beforeAutospacing="1" w:after="100" w:afterAutospacing="1"/>
        <w:rPr>
          <w:rFonts w:eastAsia="Times New Roman"/>
          <w:sz w:val="24"/>
          <w:lang w:eastAsia="zh-CN"/>
        </w:rPr>
      </w:pPr>
      <w:r>
        <w:rPr>
          <w:rFonts w:eastAsia="Times New Roman"/>
          <w:sz w:val="24"/>
          <w:lang w:eastAsia="zh-CN"/>
        </w:rPr>
        <w:t xml:space="preserve">The new send the </w:t>
      </w:r>
      <w:r>
        <w:rPr>
          <w:rFonts w:ascii="Courier New" w:hAnsi="Courier New" w:eastAsia="Times New Roman" w:cs="Courier New"/>
          <w:sz w:val="20"/>
          <w:szCs w:val="20"/>
          <w:lang w:eastAsia="zh-CN"/>
        </w:rPr>
        <w:t>RRCResume</w:t>
      </w:r>
      <w:r>
        <w:rPr>
          <w:rFonts w:eastAsia="Times New Roman"/>
          <w:sz w:val="24"/>
          <w:lang w:eastAsia="zh-CN"/>
        </w:rPr>
        <w:t xml:space="preserve"> message to the UE.</w:t>
      </w:r>
    </w:p>
    <w:p>
      <w:pPr>
        <w:numPr>
          <w:ilvl w:val="1"/>
          <w:numId w:val="5"/>
        </w:numPr>
        <w:spacing w:before="100" w:beforeAutospacing="1" w:after="100" w:afterAutospacing="1"/>
        <w:rPr>
          <w:rFonts w:eastAsia="Times New Roman"/>
          <w:sz w:val="24"/>
          <w:lang w:eastAsia="zh-CN"/>
        </w:rPr>
      </w:pPr>
      <w:r>
        <w:rPr>
          <w:rFonts w:eastAsia="Times New Roman"/>
          <w:b/>
          <w:bCs/>
          <w:sz w:val="24"/>
          <w:lang w:eastAsia="zh-CN"/>
        </w:rPr>
        <w:t xml:space="preserve">When the UE sends the </w:t>
      </w:r>
      <w:r>
        <w:rPr>
          <w:rFonts w:ascii="Courier New" w:hAnsi="Courier New" w:eastAsia="Times New Roman" w:cs="Courier New"/>
          <w:b/>
          <w:bCs/>
          <w:sz w:val="20"/>
          <w:szCs w:val="20"/>
          <w:lang w:eastAsia="zh-CN"/>
        </w:rPr>
        <w:t>RRCResumeComplete</w:t>
      </w:r>
      <w:r>
        <w:rPr>
          <w:rFonts w:eastAsia="Times New Roman"/>
          <w:b/>
          <w:bCs/>
          <w:sz w:val="24"/>
          <w:lang w:eastAsia="zh-CN"/>
        </w:rPr>
        <w:t xml:space="preserve"> message</w:t>
      </w:r>
      <w:r>
        <w:rPr>
          <w:rFonts w:eastAsia="Times New Roman"/>
          <w:sz w:val="24"/>
          <w:lang w:eastAsia="zh-CN"/>
        </w:rPr>
        <w:t xml:space="preserve">, it includes the </w:t>
      </w:r>
      <w:r>
        <w:rPr>
          <w:rFonts w:ascii="Courier New" w:hAnsi="Courier New" w:eastAsia="Times New Roman" w:cs="Courier New"/>
          <w:sz w:val="20"/>
          <w:szCs w:val="20"/>
          <w:lang w:eastAsia="zh-CN"/>
        </w:rPr>
        <w:t>selectedPLMN-Identity</w:t>
      </w:r>
      <w:r>
        <w:rPr>
          <w:rFonts w:eastAsia="Times New Roman"/>
          <w:sz w:val="24"/>
          <w:lang w:eastAsia="zh-CN"/>
        </w:rPr>
        <w:t xml:space="preserve"> IE, sending the index of the PLMN it selected from the current cell's SIB1 list to the base station. This is the UE indicating to the new gNB its selected PLMN within the current cell's context, in addition to the network already knowing the UE's previous serving PLMN via context retrieval.The new gNB may update previous serving PLMN.</w:t>
      </w:r>
    </w:p>
    <w:p>
      <w:pPr>
        <w:spacing w:before="100" w:beforeAutospacing="1" w:after="100" w:afterAutospacing="1"/>
        <w:rPr>
          <w:rFonts w:eastAsia="Times New Roman"/>
          <w:b/>
          <w:bCs/>
          <w:sz w:val="24"/>
          <w:lang w:eastAsia="zh-CN"/>
        </w:rPr>
      </w:pPr>
      <w:r>
        <w:rPr>
          <w:rFonts w:eastAsia="Times New Roman"/>
          <w:b/>
          <w:bCs/>
          <w:sz w:val="24"/>
          <w:lang w:eastAsia="zh-CN"/>
        </w:rPr>
        <w:t xml:space="preserve">Observation 1:  During the RRC connection resume process, the PLMN selection action is performed by the UE, and the UE informs the new gNB of the index of the PLMN it selected from the SIB1 broadcast list by including the </w:t>
      </w:r>
      <w:r>
        <w:rPr>
          <w:rFonts w:ascii="Courier New" w:hAnsi="Courier New" w:eastAsia="Times New Roman" w:cs="Courier New"/>
          <w:b/>
          <w:bCs/>
          <w:sz w:val="20"/>
          <w:szCs w:val="20"/>
          <w:lang w:eastAsia="zh-CN"/>
        </w:rPr>
        <w:t>selectedPLMN-Identity</w:t>
      </w:r>
      <w:r>
        <w:rPr>
          <w:rFonts w:eastAsia="Times New Roman"/>
          <w:b/>
          <w:bCs/>
          <w:sz w:val="24"/>
          <w:lang w:eastAsia="zh-CN"/>
        </w:rPr>
        <w:t xml:space="preserve"> Information Element in the </w:t>
      </w:r>
      <w:r>
        <w:rPr>
          <w:rFonts w:ascii="Courier New" w:hAnsi="Courier New" w:eastAsia="Times New Roman" w:cs="Courier New"/>
          <w:b/>
          <w:bCs/>
          <w:sz w:val="20"/>
          <w:szCs w:val="20"/>
          <w:lang w:eastAsia="zh-CN"/>
        </w:rPr>
        <w:t>RRCResumeComplete</w:t>
      </w:r>
      <w:r>
        <w:rPr>
          <w:rFonts w:eastAsia="Times New Roman"/>
          <w:b/>
          <w:bCs/>
          <w:sz w:val="24"/>
          <w:lang w:eastAsia="zh-CN"/>
        </w:rPr>
        <w:t xml:space="preserve"> message.</w:t>
      </w:r>
    </w:p>
    <w:p>
      <w:pPr>
        <w:spacing w:before="100" w:beforeAutospacing="1" w:after="100" w:afterAutospacing="1"/>
        <w:rPr>
          <w:rFonts w:eastAsia="Times New Roman"/>
          <w:b/>
          <w:bCs/>
          <w:sz w:val="24"/>
          <w:lang w:eastAsia="zh-CN"/>
        </w:rPr>
      </w:pPr>
      <w:r>
        <w:rPr>
          <w:rFonts w:eastAsia="Times New Roman"/>
          <w:b/>
          <w:bCs/>
          <w:sz w:val="24"/>
          <w:lang w:eastAsia="zh-CN"/>
        </w:rPr>
        <w:t>Observation 2:  During the UE context retrieval procedure, n</w:t>
      </w:r>
      <w:r>
        <w:rPr>
          <w:rFonts w:hint="eastAsia" w:eastAsia="Times New Roman"/>
          <w:b/>
          <w:bCs/>
          <w:sz w:val="24"/>
          <w:lang w:eastAsia="zh-CN"/>
        </w:rPr>
        <w:t>either</w:t>
      </w:r>
      <w:r>
        <w:rPr>
          <w:rFonts w:eastAsia="Times New Roman"/>
          <w:b/>
          <w:bCs/>
          <w:sz w:val="24"/>
          <w:lang w:eastAsia="zh-CN"/>
        </w:rPr>
        <w:t xml:space="preserve"> new gNB nor old gNB know the PLMN selected by the UE.</w:t>
      </w:r>
    </w:p>
    <w:p>
      <w:pPr>
        <w:pStyle w:val="7"/>
        <w:rPr>
          <w:lang w:eastAsia="zh-CN"/>
        </w:rPr>
      </w:pPr>
      <w:r>
        <w:rPr>
          <w:lang w:eastAsia="zh-CN"/>
        </w:rPr>
        <w:t>How</w:t>
      </w:r>
      <w:r>
        <w:rPr>
          <w:rFonts w:hint="eastAsia"/>
          <w:lang w:val="en-US" w:eastAsia="zh-CN"/>
        </w:rPr>
        <w:t xml:space="preserve"> does </w:t>
      </w:r>
      <w:r>
        <w:rPr>
          <w:lang w:eastAsia="zh-CN"/>
        </w:rPr>
        <w:t>PLMN</w:t>
      </w:r>
      <w:r>
        <w:rPr>
          <w:rFonts w:hint="eastAsia"/>
          <w:lang w:val="en-US" w:eastAsia="zh-CN"/>
        </w:rPr>
        <w:t xml:space="preserve"> selection</w:t>
      </w:r>
      <w:r>
        <w:rPr>
          <w:lang w:eastAsia="zh-CN"/>
        </w:rPr>
        <w:t xml:space="preserve"> </w:t>
      </w:r>
      <w:r>
        <w:rPr>
          <w:rFonts w:hint="eastAsia"/>
          <w:lang w:val="en-US" w:eastAsia="zh-CN"/>
        </w:rPr>
        <w:t xml:space="preserve">performed </w:t>
      </w:r>
      <w:r>
        <w:rPr>
          <w:lang w:eastAsia="zh-CN"/>
        </w:rPr>
        <w:t xml:space="preserve">during RRC </w:t>
      </w:r>
      <w:r>
        <w:rPr>
          <w:rFonts w:hint="eastAsia"/>
          <w:lang w:val="en-US" w:eastAsia="zh-CN"/>
        </w:rPr>
        <w:t xml:space="preserve">Reestablishment </w:t>
      </w:r>
      <w:r>
        <w:rPr>
          <w:lang w:eastAsia="zh-CN"/>
        </w:rPr>
        <w:t>procedure:</w:t>
      </w:r>
    </w:p>
    <w:p>
      <w:pPr>
        <w:pStyle w:val="9"/>
        <w:tabs>
          <w:tab w:val="clear" w:pos="720"/>
        </w:tabs>
      </w:pPr>
      <w:r>
        <w:t>Re-establishment procedure</w:t>
      </w:r>
    </w:p>
    <w:p>
      <w:r>
        <w:t>A UE in RRC_CONNECTED may initiate the re-establishment procedure to continue the RRC connection when a failure condition occurs (e.g. radio link failure, reconfiguration failure, integrity check failure…).</w:t>
      </w:r>
    </w:p>
    <w:p>
      <w:r>
        <w:t>The following figure describes the re-establishment procedure started by the UE:</w:t>
      </w:r>
    </w:p>
    <w:p>
      <w:pPr>
        <w:pStyle w:val="65"/>
        <w:rPr>
          <w:rFonts w:eastAsia="Yu Mincho"/>
        </w:rPr>
      </w:pPr>
      <w:r>
        <w:object>
          <v:shape id="_x0000_i1026" o:spt="75" type="#_x0000_t75" style="height:300pt;width:414.75pt;" o:ole="t" filled="f" o:preferrelative="t" stroked="f" coordsize="21600,21600">
            <v:path/>
            <v:fill on="f" focussize="0,0"/>
            <v:stroke on="f" joinstyle="miter"/>
            <v:imagedata r:id="rId8" o:title=""/>
            <o:lock v:ext="edit" aspectratio="t"/>
            <w10:wrap type="none"/>
            <w10:anchorlock/>
          </v:shape>
          <o:OLEObject Type="Embed" ProgID="Mscgen.Chart" ShapeID="_x0000_i1026" DrawAspect="Content" ObjectID="_1468075726" r:id="rId7">
            <o:LockedField>false</o:LockedField>
          </o:OLEObject>
        </w:object>
      </w:r>
    </w:p>
    <w:p>
      <w:pPr>
        <w:pStyle w:val="67"/>
      </w:pPr>
      <w:r>
        <w:t>Figure 9.2.3.3-1: Re-establishment procedure</w:t>
      </w:r>
    </w:p>
    <w:p>
      <w:pPr>
        <w:pStyle w:val="42"/>
      </w:pPr>
      <w:r>
        <w:t>1.</w:t>
      </w:r>
      <w:r>
        <w:tab/>
      </w:r>
      <w:r>
        <w:t>The UE re-establishes the connection, providing the UE Identity (PCI+C-RNTI) to the gNB where the trigger for the re-establishment occurred.</w:t>
      </w:r>
    </w:p>
    <w:p>
      <w:pPr>
        <w:pStyle w:val="42"/>
      </w:pPr>
      <w:r>
        <w:t>2.</w:t>
      </w:r>
      <w:r>
        <w:tab/>
      </w:r>
      <w:r>
        <w:t>If the UE Context is not locally available, the gNB, requests the last serving gNB to provide UE Context data.</w:t>
      </w:r>
    </w:p>
    <w:p>
      <w:pPr>
        <w:pStyle w:val="42"/>
      </w:pPr>
      <w:r>
        <w:t>3.</w:t>
      </w:r>
      <w:r>
        <w:tab/>
      </w:r>
      <w:r>
        <w:t>The last serving gNB provides UE context data.</w:t>
      </w:r>
    </w:p>
    <w:p>
      <w:pPr>
        <w:pStyle w:val="42"/>
      </w:pPr>
      <w:r>
        <w:t>4/4a. The gNB continues the re-establishment of the RRC connection. The message is sent on SRB1.</w:t>
      </w:r>
    </w:p>
    <w:p>
      <w:pPr>
        <w:pStyle w:val="42"/>
      </w:pPr>
      <w:r>
        <w:t>5/5a. The gNB may perform the reconfiguration to re-establish SRB2 and DRBs when the re-establishment procedure is ongoing.</w:t>
      </w:r>
    </w:p>
    <w:p>
      <w:pPr>
        <w:pStyle w:val="42"/>
      </w:pPr>
      <w:r>
        <w:t>6/7.</w:t>
      </w:r>
      <w:r>
        <w:tab/>
      </w:r>
      <w:r>
        <w:t>If loss of user data buffered in the last serving gNB shall be prevented, the gNB provides forwarding addresses, and the last serving gNB provides the SN status to the gNB.</w:t>
      </w:r>
    </w:p>
    <w:p>
      <w:pPr>
        <w:pStyle w:val="42"/>
      </w:pPr>
      <w:r>
        <w:t>8/9. The gNB performs path switch.</w:t>
      </w:r>
    </w:p>
    <w:p>
      <w:pPr>
        <w:pStyle w:val="42"/>
      </w:pPr>
      <w:r>
        <w:t>10.</w:t>
      </w:r>
      <w:r>
        <w:tab/>
      </w:r>
      <w:r>
        <w:t>The gNB triggers the release of the UE resources at the last serving gNB.</w:t>
      </w:r>
    </w:p>
    <w:p>
      <w:pPr>
        <w:rPr>
          <w:sz w:val="20"/>
          <w:szCs w:val="20"/>
        </w:rPr>
      </w:pPr>
      <w:r>
        <w:rPr>
          <w:sz w:val="20"/>
          <w:szCs w:val="20"/>
        </w:rPr>
        <w:t>The reason why a</w:t>
      </w:r>
      <w:r>
        <w:rPr>
          <w:rFonts w:hint="eastAsia" w:eastAsia="宋体"/>
          <w:sz w:val="20"/>
          <w:szCs w:val="20"/>
          <w:lang w:val="en-US" w:eastAsia="zh-CN"/>
        </w:rPr>
        <w:t xml:space="preserve"> </w:t>
      </w:r>
      <w:r>
        <w:rPr>
          <w:sz w:val="20"/>
          <w:szCs w:val="20"/>
        </w:rPr>
        <w:t xml:space="preserve">UE does not </w:t>
      </w:r>
      <w:r>
        <w:rPr>
          <w:rFonts w:hint="eastAsia" w:eastAsia="宋体"/>
          <w:sz w:val="20"/>
          <w:szCs w:val="20"/>
          <w:lang w:val="en-US" w:eastAsia="zh-CN"/>
        </w:rPr>
        <w:t>se</w:t>
      </w:r>
      <w:r>
        <w:rPr>
          <w:rFonts w:hint="eastAsia" w:eastAsia="宋体"/>
          <w:sz w:val="20"/>
          <w:szCs w:val="20"/>
          <w:lang w:eastAsia="zh-CN"/>
        </w:rPr>
        <w:t>lect</w:t>
      </w:r>
      <w:r>
        <w:rPr>
          <w:sz w:val="20"/>
          <w:szCs w:val="20"/>
        </w:rPr>
        <w:t xml:space="preserve"> a PLMN during the re-establishment procedure is fundamentally tied to the purpose and context of this specific RRC state and procedure.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rFonts w:hint="default"/>
                <w:sz w:val="20"/>
                <w:szCs w:val="20"/>
                <w:lang w:val="en-US" w:eastAsia="zh-CN"/>
              </w:rPr>
            </w:pPr>
            <w:r>
              <w:rPr>
                <w:rFonts w:hint="eastAsia"/>
                <w:sz w:val="20"/>
                <w:szCs w:val="20"/>
                <w:lang w:val="en-US" w:eastAsia="zh-CN"/>
              </w:rPr>
              <w:t>TS 38.300:</w:t>
            </w:r>
          </w:p>
          <w:p>
            <w:pPr>
              <w:rPr>
                <w:sz w:val="20"/>
                <w:szCs w:val="20"/>
              </w:rPr>
            </w:pPr>
            <w:r>
              <w:rPr>
                <w:sz w:val="20"/>
                <w:szCs w:val="20"/>
                <w:lang w:val="en-US" w:eastAsia="zh-CN"/>
              </w:rPr>
              <w:t>7.2 Protocol States</w:t>
            </w:r>
          </w:p>
          <w:p>
            <w:pPr>
              <w:rPr>
                <w:sz w:val="20"/>
                <w:szCs w:val="20"/>
              </w:rPr>
            </w:pPr>
            <w:r>
              <w:rPr>
                <w:sz w:val="20"/>
                <w:szCs w:val="20"/>
                <w:lang w:val="en-US" w:eastAsia="zh-CN"/>
              </w:rPr>
              <w:t>RRC supports the following states which can be characterised as follows:</w:t>
            </w:r>
          </w:p>
          <w:p>
            <w:pPr>
              <w:rPr>
                <w:sz w:val="20"/>
                <w:szCs w:val="20"/>
              </w:rPr>
            </w:pPr>
            <w:r>
              <w:rPr>
                <w:sz w:val="20"/>
                <w:szCs w:val="20"/>
                <w:lang w:val="en-US" w:eastAsia="zh-CN"/>
              </w:rPr>
              <w:t>- RRC_IDLE:</w:t>
            </w:r>
          </w:p>
          <w:p>
            <w:pPr>
              <w:ind w:leftChars="100"/>
              <w:rPr>
                <w:sz w:val="20"/>
                <w:szCs w:val="20"/>
              </w:rPr>
            </w:pPr>
            <w:r>
              <w:rPr>
                <w:sz w:val="20"/>
                <w:szCs w:val="20"/>
                <w:lang w:val="en-US" w:eastAsia="zh-CN"/>
              </w:rPr>
              <w:t xml:space="preserve">- </w:t>
            </w:r>
            <w:r>
              <w:rPr>
                <w:sz w:val="20"/>
                <w:szCs w:val="20"/>
                <w:highlight w:val="yellow"/>
                <w:lang w:val="en-US" w:eastAsia="zh-CN"/>
              </w:rPr>
              <w:t>PLMN selection</w:t>
            </w:r>
            <w:r>
              <w:rPr>
                <w:sz w:val="20"/>
                <w:szCs w:val="20"/>
                <w:lang w:val="en-US" w:eastAsia="zh-CN"/>
              </w:rPr>
              <w:t>;</w:t>
            </w:r>
          </w:p>
          <w:p>
            <w:pPr>
              <w:ind w:leftChars="100"/>
              <w:rPr>
                <w:sz w:val="20"/>
                <w:szCs w:val="20"/>
              </w:rPr>
            </w:pPr>
            <w:r>
              <w:rPr>
                <w:sz w:val="20"/>
                <w:szCs w:val="20"/>
                <w:lang w:val="en-US" w:eastAsia="zh-CN"/>
              </w:rPr>
              <w:t>- Broadcast of system information;</w:t>
            </w:r>
          </w:p>
          <w:p>
            <w:pPr>
              <w:ind w:leftChars="100"/>
              <w:rPr>
                <w:sz w:val="20"/>
                <w:szCs w:val="20"/>
              </w:rPr>
            </w:pPr>
            <w:r>
              <w:rPr>
                <w:sz w:val="20"/>
                <w:szCs w:val="20"/>
                <w:lang w:val="en-US" w:eastAsia="zh-CN"/>
              </w:rPr>
              <w:t>- Cell re-selection mobility;</w:t>
            </w:r>
          </w:p>
          <w:p>
            <w:pPr>
              <w:ind w:leftChars="100"/>
              <w:rPr>
                <w:sz w:val="20"/>
                <w:szCs w:val="20"/>
              </w:rPr>
            </w:pPr>
            <w:r>
              <w:rPr>
                <w:sz w:val="20"/>
                <w:szCs w:val="20"/>
                <w:lang w:val="en-US" w:eastAsia="zh-CN"/>
              </w:rPr>
              <w:t>- Paging for mobile terminated data is initiated by 5GC;</w:t>
            </w:r>
          </w:p>
          <w:p>
            <w:pPr>
              <w:ind w:leftChars="100"/>
              <w:rPr>
                <w:sz w:val="20"/>
                <w:szCs w:val="20"/>
              </w:rPr>
            </w:pPr>
            <w:r>
              <w:rPr>
                <w:sz w:val="20"/>
                <w:szCs w:val="20"/>
                <w:lang w:val="en-US" w:eastAsia="zh-CN"/>
              </w:rPr>
              <w:t>- Transfer of MBS broadcast data to the UE over MRB(s);</w:t>
            </w:r>
          </w:p>
          <w:p>
            <w:pPr>
              <w:ind w:leftChars="100"/>
              <w:rPr>
                <w:sz w:val="20"/>
                <w:szCs w:val="20"/>
              </w:rPr>
            </w:pPr>
            <w:r>
              <w:rPr>
                <w:sz w:val="20"/>
                <w:szCs w:val="20"/>
                <w:lang w:val="en-US" w:eastAsia="zh-CN"/>
              </w:rPr>
              <w:t>- DRX for CN paging configured by NAS.</w:t>
            </w:r>
          </w:p>
          <w:p>
            <w:pPr>
              <w:rPr>
                <w:sz w:val="20"/>
                <w:szCs w:val="20"/>
              </w:rPr>
            </w:pPr>
            <w:r>
              <w:rPr>
                <w:sz w:val="20"/>
                <w:szCs w:val="20"/>
                <w:lang w:val="en-US" w:eastAsia="zh-CN"/>
              </w:rPr>
              <w:t>- RRC_INACTIVE:</w:t>
            </w:r>
          </w:p>
          <w:p>
            <w:pPr>
              <w:ind w:leftChars="100"/>
              <w:rPr>
                <w:sz w:val="20"/>
                <w:szCs w:val="20"/>
                <w:highlight w:val="yellow"/>
              </w:rPr>
            </w:pPr>
            <w:r>
              <w:rPr>
                <w:sz w:val="20"/>
                <w:szCs w:val="20"/>
                <w:highlight w:val="yellow"/>
                <w:lang w:val="en-US" w:eastAsia="zh-CN"/>
              </w:rPr>
              <w:t>- PLMN selection;</w:t>
            </w:r>
          </w:p>
          <w:p>
            <w:pPr>
              <w:ind w:leftChars="100"/>
              <w:rPr>
                <w:sz w:val="20"/>
                <w:szCs w:val="20"/>
              </w:rPr>
            </w:pPr>
            <w:r>
              <w:rPr>
                <w:sz w:val="20"/>
                <w:szCs w:val="20"/>
                <w:lang w:val="en-US" w:eastAsia="zh-CN"/>
              </w:rPr>
              <w:t>- Broadcast of system information;</w:t>
            </w:r>
          </w:p>
          <w:p>
            <w:pPr>
              <w:ind w:leftChars="100"/>
              <w:rPr>
                <w:sz w:val="20"/>
                <w:szCs w:val="20"/>
              </w:rPr>
            </w:pPr>
            <w:r>
              <w:rPr>
                <w:sz w:val="20"/>
                <w:szCs w:val="20"/>
                <w:lang w:val="en-US" w:eastAsia="zh-CN"/>
              </w:rPr>
              <w:t>- Cell re-selection mobility;</w:t>
            </w:r>
          </w:p>
          <w:p>
            <w:pPr>
              <w:ind w:leftChars="100"/>
              <w:rPr>
                <w:sz w:val="20"/>
                <w:szCs w:val="20"/>
              </w:rPr>
            </w:pPr>
            <w:r>
              <w:rPr>
                <w:sz w:val="20"/>
                <w:szCs w:val="20"/>
                <w:lang w:val="en-US" w:eastAsia="zh-CN"/>
              </w:rPr>
              <w:t>- Paging is initiated by NG-RAN (RAN paging);</w:t>
            </w:r>
          </w:p>
          <w:p>
            <w:pPr>
              <w:ind w:leftChars="100"/>
              <w:rPr>
                <w:sz w:val="20"/>
                <w:szCs w:val="20"/>
              </w:rPr>
            </w:pPr>
            <w:r>
              <w:rPr>
                <w:sz w:val="20"/>
                <w:szCs w:val="20"/>
                <w:lang w:val="en-US" w:eastAsia="zh-CN"/>
              </w:rPr>
              <w:t>- RAN-based notification area (RNA) is managed by NG- RAN;</w:t>
            </w:r>
          </w:p>
          <w:p>
            <w:pPr>
              <w:ind w:leftChars="100"/>
              <w:rPr>
                <w:sz w:val="20"/>
                <w:szCs w:val="20"/>
              </w:rPr>
            </w:pPr>
            <w:r>
              <w:rPr>
                <w:sz w:val="20"/>
                <w:szCs w:val="20"/>
                <w:lang w:val="en-US" w:eastAsia="zh-CN"/>
              </w:rPr>
              <w:t>- DRX for RAN paging configured by NG-RAN;</w:t>
            </w:r>
          </w:p>
          <w:p>
            <w:pPr>
              <w:ind w:leftChars="100"/>
              <w:rPr>
                <w:sz w:val="20"/>
                <w:szCs w:val="20"/>
              </w:rPr>
            </w:pPr>
            <w:r>
              <w:rPr>
                <w:sz w:val="20"/>
                <w:szCs w:val="20"/>
                <w:lang w:val="en-US" w:eastAsia="zh-CN"/>
              </w:rPr>
              <w:t>- 5GC - NG-RAN connection (both C/U-planes) is established for UE;</w:t>
            </w:r>
          </w:p>
          <w:p>
            <w:pPr>
              <w:ind w:leftChars="100"/>
              <w:rPr>
                <w:sz w:val="20"/>
                <w:szCs w:val="20"/>
              </w:rPr>
            </w:pPr>
            <w:r>
              <w:rPr>
                <w:sz w:val="20"/>
                <w:szCs w:val="20"/>
                <w:lang w:val="en-US" w:eastAsia="zh-CN"/>
              </w:rPr>
              <w:t>- The UE Inactive AS context is stored in NG-RAN and the UE;</w:t>
            </w:r>
          </w:p>
          <w:p>
            <w:pPr>
              <w:ind w:leftChars="100"/>
              <w:rPr>
                <w:sz w:val="20"/>
                <w:szCs w:val="20"/>
              </w:rPr>
            </w:pPr>
            <w:r>
              <w:rPr>
                <w:sz w:val="20"/>
                <w:szCs w:val="20"/>
                <w:lang w:val="en-US" w:eastAsia="zh-CN"/>
              </w:rPr>
              <w:t>- NG-RAN knows the RNA which the UE belongs to;</w:t>
            </w:r>
          </w:p>
          <w:p>
            <w:pPr>
              <w:ind w:leftChars="100"/>
              <w:rPr>
                <w:sz w:val="20"/>
                <w:szCs w:val="20"/>
              </w:rPr>
            </w:pPr>
            <w:r>
              <w:rPr>
                <w:sz w:val="20"/>
                <w:szCs w:val="20"/>
                <w:lang w:val="en-US" w:eastAsia="zh-CN"/>
              </w:rPr>
              <w:t>- Transfer of MBS multicast/broadcast data to the UE over MRB(s);</w:t>
            </w:r>
          </w:p>
          <w:p>
            <w:pPr>
              <w:ind w:leftChars="100"/>
              <w:rPr>
                <w:sz w:val="20"/>
                <w:szCs w:val="20"/>
              </w:rPr>
            </w:pPr>
            <w:r>
              <w:rPr>
                <w:sz w:val="20"/>
                <w:szCs w:val="20"/>
                <w:lang w:val="en-US" w:eastAsia="zh-CN"/>
              </w:rPr>
              <w:t>- Transfer of unicast data and/or signalling to/from the UE over radio bearers configured for SDT.</w:t>
            </w:r>
          </w:p>
          <w:p>
            <w:pPr>
              <w:rPr>
                <w:sz w:val="20"/>
                <w:szCs w:val="20"/>
              </w:rPr>
            </w:pPr>
            <w:r>
              <w:rPr>
                <w:sz w:val="20"/>
                <w:szCs w:val="20"/>
                <w:lang w:val="en-US" w:eastAsia="zh-CN"/>
              </w:rPr>
              <w:t>- RRC_CONNECTED:</w:t>
            </w:r>
          </w:p>
          <w:p>
            <w:pPr>
              <w:ind w:leftChars="100"/>
              <w:rPr>
                <w:sz w:val="20"/>
                <w:szCs w:val="20"/>
              </w:rPr>
            </w:pPr>
            <w:r>
              <w:rPr>
                <w:sz w:val="20"/>
                <w:szCs w:val="20"/>
                <w:lang w:val="en-US" w:eastAsia="zh-CN"/>
              </w:rPr>
              <w:t>- 5GC - NG-RAN connection (both C/U-planes) is established for UE;</w:t>
            </w:r>
          </w:p>
          <w:p>
            <w:pPr>
              <w:ind w:leftChars="100"/>
              <w:rPr>
                <w:sz w:val="20"/>
                <w:szCs w:val="20"/>
              </w:rPr>
            </w:pPr>
            <w:r>
              <w:rPr>
                <w:sz w:val="20"/>
                <w:szCs w:val="20"/>
                <w:lang w:val="en-US" w:eastAsia="zh-CN"/>
              </w:rPr>
              <w:t>- The UE AS context is stored in NG-RAN and the UE;</w:t>
            </w:r>
          </w:p>
          <w:p>
            <w:pPr>
              <w:ind w:leftChars="100"/>
              <w:rPr>
                <w:sz w:val="20"/>
                <w:szCs w:val="20"/>
              </w:rPr>
            </w:pPr>
            <w:r>
              <w:rPr>
                <w:sz w:val="20"/>
                <w:szCs w:val="20"/>
                <w:lang w:val="en-US" w:eastAsia="zh-CN"/>
              </w:rPr>
              <w:t>- NG-RAN knows the cell which the UE belongs to;</w:t>
            </w:r>
          </w:p>
          <w:p>
            <w:pPr>
              <w:ind w:leftChars="100"/>
              <w:rPr>
                <w:sz w:val="20"/>
                <w:szCs w:val="20"/>
              </w:rPr>
            </w:pPr>
            <w:r>
              <w:rPr>
                <w:sz w:val="20"/>
                <w:szCs w:val="20"/>
                <w:lang w:val="en-US" w:eastAsia="zh-CN"/>
              </w:rPr>
              <w:t>- Transfer of unicast data to/from the UE;</w:t>
            </w:r>
          </w:p>
          <w:p>
            <w:pPr>
              <w:ind w:leftChars="100"/>
              <w:rPr>
                <w:sz w:val="20"/>
                <w:szCs w:val="20"/>
              </w:rPr>
            </w:pPr>
            <w:r>
              <w:rPr>
                <w:sz w:val="20"/>
                <w:szCs w:val="20"/>
                <w:lang w:val="en-US" w:eastAsia="zh-CN"/>
              </w:rPr>
              <w:t>- Transfer of MBS multicast/broadcast data to the UE over MRB(s);</w:t>
            </w:r>
          </w:p>
          <w:p>
            <w:pPr>
              <w:ind w:leftChars="100"/>
              <w:rPr>
                <w:vertAlign w:val="baseline"/>
              </w:rPr>
            </w:pPr>
            <w:r>
              <w:rPr>
                <w:sz w:val="20"/>
                <w:szCs w:val="20"/>
                <w:lang w:val="en-US" w:eastAsia="zh-CN"/>
              </w:rPr>
              <w:t>- Network controlled mobility including measurements.</w:t>
            </w:r>
          </w:p>
        </w:tc>
      </w:tr>
    </w:tbl>
    <w:p>
      <w:pPr>
        <w:rPr>
          <w:rFonts w:hint="eastAsia" w:eastAsia="宋体"/>
          <w:sz w:val="20"/>
          <w:szCs w:val="20"/>
          <w:lang w:val="en-US" w:eastAsia="zh-CN"/>
        </w:rPr>
      </w:pPr>
      <w:r>
        <w:rPr>
          <w:rFonts w:hint="eastAsia" w:eastAsia="宋体"/>
          <w:sz w:val="20"/>
          <w:szCs w:val="20"/>
          <w:lang w:val="en-US" w:eastAsia="zh-CN"/>
        </w:rPr>
        <w:t>As can be seen in TS38.300, only UE in RRC_IDLE or in RRC_Inactive state can trigger PLMN selection function, while for RRC_CONNECTED state, the UE does not need to trigger PLMN selection.</w:t>
      </w:r>
    </w:p>
    <w:p>
      <w:pPr>
        <w:rPr>
          <w:sz w:val="20"/>
          <w:szCs w:val="20"/>
        </w:rPr>
      </w:pPr>
      <w:r>
        <w:rPr>
          <w:sz w:val="20"/>
          <w:szCs w:val="20"/>
        </w:rPr>
        <w:t>When RRC re-establishment is initiated, the UE is in the RRC_CONNECTED state. In the RRC_CONNECTED state, the UE has an established RRC connection with the network (gNB) and is actively transferring user data and/or signaling. The 38.300 explicitly outlines</w:t>
      </w:r>
      <w:r>
        <w:rPr>
          <w:rFonts w:hint="eastAsia" w:eastAsia="宋体"/>
          <w:sz w:val="20"/>
          <w:szCs w:val="20"/>
          <w:lang w:val="en-US" w:eastAsia="zh-CN"/>
        </w:rPr>
        <w:t xml:space="preserve"> </w:t>
      </w:r>
      <w:r>
        <w:rPr>
          <w:sz w:val="20"/>
          <w:szCs w:val="20"/>
        </w:rPr>
        <w:t>PLMN selection is notably absent from its listed capabilities. Instead, PLMN selection is a function typically performed by the UE when it is in the RRC_IDLE or RRC_INACTIVE states.</w:t>
      </w:r>
    </w:p>
    <w:p>
      <w:pPr>
        <w:rPr>
          <w:sz w:val="20"/>
          <w:szCs w:val="20"/>
        </w:rPr>
      </w:pPr>
      <w:r>
        <w:rPr>
          <w:sz w:val="20"/>
          <w:szCs w:val="20"/>
        </w:rPr>
        <w:t>The primary purpose of the RRC re-establishment procedure is to recover or continue an existing RRC connection when a failure condition occurs while the UE is in RRC_CONNECTED. Such failures can include radio link failure, reconfiguration failure, or handover failure. The procedure aims to quickly restore the connection with the same Public Land Mobile Network (PLMN) to minimize service interruption. This is an Access Stratum (AS) procedure, focused on maintaining the radio link and its associated context.</w:t>
      </w:r>
    </w:p>
    <w:p>
      <w:pPr>
        <w:rPr>
          <w:sz w:val="20"/>
          <w:szCs w:val="20"/>
        </w:rPr>
      </w:pPr>
      <w:r>
        <w:rPr>
          <w:sz w:val="20"/>
          <w:szCs w:val="20"/>
        </w:rPr>
        <w:t>When a UE initiates RRC re-establishment, it sends an RRCReestablishmentRequest message to a gNB. This message includes a ue-Identity (comprising c-RNTI, physCellId, and shortMAC-I) and a reestablishmentCause. These identifiers are tied to the UE's previous connection and allow the receiving gNB to attempt to retrieve the UE's existing AS context from the last serving gNB or its local storage. The goal is to avoid a full re-registration process and seamlessly resume the existing connection. If successful, the gNB responds with an RRCReestablishment message, and the connection is resumed using the recovered context.</w:t>
      </w:r>
    </w:p>
    <w:p>
      <w:pPr>
        <w:rPr>
          <w:sz w:val="20"/>
          <w:szCs w:val="20"/>
        </w:rPr>
      </w:pPr>
      <w:r>
        <w:rPr>
          <w:sz w:val="20"/>
          <w:szCs w:val="20"/>
        </w:rPr>
        <w:t>Consistent with this purpose, the RRC messages involved in the re-establishment procedure in 3GPP TS 38.331 do not include any parameters for PLMN selection:The RRCReestablishmentRequest message, sent from the UE to the network, contains ue-Identity and reestablishmentCause, but no field for a "selected PLMN".</w:t>
      </w:r>
    </w:p>
    <w:p>
      <w:pPr>
        <w:rPr>
          <w:sz w:val="20"/>
          <w:szCs w:val="20"/>
        </w:rPr>
      </w:pPr>
      <w:r>
        <w:rPr>
          <w:sz w:val="20"/>
          <w:szCs w:val="20"/>
        </w:rPr>
        <w:t>Similarly, the RRCReestablishment message, sent from the network to the UE to confirm re-establishment, also lacks a selectedPLMN-Identity or equivalent information element (IE).</w:t>
      </w:r>
    </w:p>
    <w:p>
      <w:pPr>
        <w:rPr>
          <w:sz w:val="20"/>
          <w:szCs w:val="20"/>
        </w:rPr>
      </w:pPr>
      <w:r>
        <w:rPr>
          <w:sz w:val="20"/>
          <w:szCs w:val="20"/>
        </w:rPr>
        <w:t>In contrast, other RRC messages related to initial connection or resumption from inactive states, where PLMN selection might be involved, do include such parameters. For example, the RRCSetupComplete message (sent by the UE after successful initial connection establishment) includes selectedPLMN-Identity, and the RRCResumeComplete message (sent by the UE after successful RRC connection resumption from RRC_INACTIVE) also includes selectedPLMN-Identity. This distinction in message content clearly reinforces that re-establishment is not about choosing a network.</w:t>
      </w:r>
    </w:p>
    <w:p>
      <w:pPr>
        <w:rPr>
          <w:sz w:val="20"/>
          <w:szCs w:val="20"/>
        </w:rPr>
      </w:pPr>
      <w:r>
        <w:rPr>
          <w:sz w:val="20"/>
          <w:szCs w:val="20"/>
        </w:rPr>
        <w:t>If the RRC re-establishment procedure fails (e.g., the UE's context cannot be retrieved or verified), the network may respond with an RRCSetup message. In such cases, the UE effectively falls back to a new RRC connection establishment procedure. If the UE is unable to re-establish a connection at all, it will eventually transition to the RRC_IDLE state. Only when in RRC_IDLE (or RRC_INACTIVE) can the UE then engage in Non-Access Stratum (NAS) layer procedures for PLMN selection and potentially register with a different network. The selectedPLMN-Identity parameter would then appear in the RRCSetupComplete message of this subsequent initial connection establishment.</w:t>
      </w:r>
    </w:p>
    <w:p>
      <w:pPr>
        <w:spacing w:before="100" w:beforeAutospacing="1" w:after="100" w:afterAutospacing="1"/>
        <w:rPr>
          <w:rFonts w:eastAsia="Times New Roman"/>
          <w:b/>
          <w:bCs/>
          <w:sz w:val="24"/>
          <w:lang w:eastAsia="zh-CN"/>
        </w:rPr>
      </w:pPr>
      <w:r>
        <w:rPr>
          <w:rFonts w:hint="eastAsia" w:eastAsia="Times New Roman"/>
          <w:b/>
          <w:bCs/>
          <w:sz w:val="24"/>
          <w:lang w:val="en-US" w:eastAsia="zh-CN"/>
        </w:rPr>
        <w:t xml:space="preserve">Observation 3: </w:t>
      </w:r>
      <w:r>
        <w:rPr>
          <w:rFonts w:eastAsia="Times New Roman"/>
          <w:b/>
          <w:bCs/>
          <w:sz w:val="24"/>
          <w:lang w:eastAsia="zh-CN"/>
        </w:rPr>
        <w:t>RRC re-establishment is a recovery mechanism within the currently connected PLMN, designed to maintain service continuity, rather than a process for the UE to choose a new network operator.</w:t>
      </w:r>
    </w:p>
    <w:p>
      <w:pPr>
        <w:pStyle w:val="7"/>
        <w:rPr>
          <w:rFonts w:hint="default" w:ascii="Arial" w:hAnsi="Arial" w:cs="Arial"/>
          <w:lang w:val="en-US" w:eastAsia="zh-CN"/>
        </w:rPr>
      </w:pPr>
      <w:r>
        <w:rPr>
          <w:rFonts w:hint="eastAsia" w:ascii="Arial" w:hAnsi="Arial" w:cs="Arial"/>
          <w:lang w:val="en-US" w:eastAsia="zh-CN"/>
        </w:rPr>
        <w:t>Whether serving PLMN can or should be selected by source gNB during UE context retrieval?</w:t>
      </w:r>
    </w:p>
    <w:p>
      <w:pPr>
        <w:rPr>
          <w:sz w:val="20"/>
          <w:szCs w:val="20"/>
        </w:rPr>
      </w:pPr>
      <w:r>
        <w:rPr>
          <w:rFonts w:hint="eastAsia"/>
          <w:sz w:val="20"/>
          <w:szCs w:val="20"/>
          <w:lang w:val="en-US" w:eastAsia="zh-CN"/>
        </w:rPr>
        <w:t>Based on analysis so far, t</w:t>
      </w:r>
      <w:r>
        <w:rPr>
          <w:sz w:val="20"/>
          <w:szCs w:val="20"/>
        </w:rPr>
        <w:t xml:space="preserve">he UE Context Retrieval procedure is primarily triggered when a UE in </w:t>
      </w:r>
      <w:r>
        <w:rPr>
          <w:rFonts w:hint="eastAsia"/>
          <w:sz w:val="20"/>
          <w:szCs w:val="20"/>
          <w:lang w:val="en-US" w:eastAsia="zh-CN"/>
        </w:rPr>
        <w:t>RRC_INACTIVE state</w:t>
      </w:r>
      <w:r>
        <w:rPr>
          <w:sz w:val="20"/>
          <w:szCs w:val="20"/>
        </w:rPr>
        <w:t xml:space="preserve"> attempts to resume its RRC connection, or when a UE needs to re-establish a connection after a failure (e.g., Radio Link Failure – RLF). The main goal is for the "new" NG-RAN node (where the UE is now camping/trying to connect) to retrieve the UE's stored Access Stratum (AS) context from the "old" NG-RAN node (where the UE was last active or inactive).</w:t>
      </w:r>
    </w:p>
    <w:p>
      <w:pPr>
        <w:rPr>
          <w:sz w:val="20"/>
          <w:szCs w:val="20"/>
        </w:rPr>
      </w:pPr>
      <w:r>
        <w:rPr>
          <w:sz w:val="20"/>
          <w:szCs w:val="20"/>
        </w:rPr>
        <w:t>During this process, a change in Serving PLMN is possible, but generally it is restricted to scenarios where the new PLMN is either the same as the old PLMN or an Equivalent PLMN (EPLMN)</w:t>
      </w:r>
      <w:r>
        <w:rPr>
          <w:rFonts w:hint="eastAsia"/>
          <w:sz w:val="20"/>
          <w:szCs w:val="20"/>
          <w:lang w:val="en-US" w:eastAsia="zh-CN"/>
        </w:rPr>
        <w:t>.</w:t>
      </w:r>
      <w:r>
        <w:rPr>
          <w:sz w:val="20"/>
          <w:szCs w:val="20"/>
        </w:rPr>
        <w:t xml:space="preserve"> If a UE moves to a non-equivalent PLMN, a full NAS (Non-Access Stratum) registration procedure is typically required, rather than just a context retrieval.</w:t>
      </w:r>
    </w:p>
    <w:p>
      <w:pPr>
        <w:rPr>
          <w:rFonts w:hint="default"/>
          <w:sz w:val="20"/>
          <w:szCs w:val="20"/>
          <w:lang w:val="en-US" w:eastAsia="zh-CN"/>
        </w:rPr>
      </w:pPr>
      <w:r>
        <w:rPr>
          <w:rFonts w:hint="eastAsia"/>
          <w:sz w:val="20"/>
          <w:szCs w:val="20"/>
          <w:lang w:val="en-US" w:eastAsia="zh-CN"/>
        </w:rPr>
        <w:t>T</w:t>
      </w:r>
      <w:r>
        <w:rPr>
          <w:sz w:val="20"/>
          <w:szCs w:val="20"/>
        </w:rPr>
        <w:t xml:space="preserve">he old </w:t>
      </w:r>
      <w:r>
        <w:rPr>
          <w:rFonts w:hint="eastAsia"/>
          <w:sz w:val="20"/>
          <w:szCs w:val="20"/>
          <w:lang w:val="en-US" w:eastAsia="zh-CN"/>
        </w:rPr>
        <w:t xml:space="preserve">gNB </w:t>
      </w:r>
      <w:r>
        <w:rPr>
          <w:sz w:val="20"/>
          <w:szCs w:val="20"/>
        </w:rPr>
        <w:t>cannot choose a new Serving PLMN through the RETRIEVE UE CONTEXT REQUEST message</w:t>
      </w:r>
      <w:r>
        <w:rPr>
          <w:rFonts w:hint="eastAsia"/>
          <w:sz w:val="20"/>
          <w:szCs w:val="20"/>
          <w:lang w:val="en-US" w:eastAsia="zh-CN"/>
        </w:rPr>
        <w:t xml:space="preserve"> for the following reasons:</w:t>
      </w:r>
    </w:p>
    <w:p>
      <w:pPr>
        <w:rPr>
          <w:rFonts w:hint="eastAsia"/>
          <w:sz w:val="20"/>
          <w:szCs w:val="20"/>
          <w:lang w:val="en-US" w:eastAsia="zh-CN"/>
        </w:rPr>
      </w:pPr>
      <w:r>
        <w:rPr>
          <w:rFonts w:hint="eastAsia"/>
          <w:sz w:val="20"/>
          <w:szCs w:val="20"/>
          <w:lang w:val="en-US" w:eastAsia="zh-CN"/>
        </w:rPr>
        <w:t>Reason 1: The RETRIEVE UE CONTEXT REQUEST message is sent by the new NG-RAN node to the old NG-RAN node. The UE has already selected the new cell (and thus the associated PLMN or EPLMN) before this message is initiated.</w:t>
      </w:r>
    </w:p>
    <w:p>
      <w:pPr>
        <w:rPr>
          <w:rFonts w:hint="eastAsia"/>
          <w:sz w:val="20"/>
          <w:szCs w:val="20"/>
          <w:lang w:val="en-US" w:eastAsia="zh-CN"/>
        </w:rPr>
      </w:pPr>
      <w:r>
        <w:rPr>
          <w:rFonts w:hint="eastAsia"/>
          <w:sz w:val="20"/>
          <w:szCs w:val="20"/>
          <w:lang w:val="en-US" w:eastAsia="zh-CN"/>
        </w:rPr>
        <w:t>Reason 2: The RETRIEVE UE CONTEXT REQUEST message primarily contains identifiers and security information necessary for the old NG-RAN node to locate and authenticate the UE's context. These include the New NG-RAN node UE XnAP ID (allocated at the new node), UE Context ID, and Integrity protection information (e.g., MAC-I from RRC Resume/Reestablishment messages).</w:t>
      </w:r>
    </w:p>
    <w:p>
      <w:pPr>
        <w:rPr>
          <w:rFonts w:hint="eastAsia"/>
          <w:sz w:val="20"/>
          <w:szCs w:val="20"/>
          <w:lang w:val="en-US" w:eastAsia="zh-CN"/>
        </w:rPr>
      </w:pPr>
      <w:r>
        <w:rPr>
          <w:rFonts w:hint="eastAsia"/>
          <w:sz w:val="20"/>
          <w:szCs w:val="20"/>
          <w:lang w:val="en-US" w:eastAsia="zh-CN"/>
        </w:rPr>
        <w:t>Reason 3: The new node do not indicate that the RETRIEVE UE CONTEXT REQUEST message includes any fields or mechanisms that would allow the old NG-RAN node to propose or select a new Serving PLMN for the UE. The old node in this procedure is to provide the existing UE context, not to influence the UE's choice of PLMN at the new location. The PLMN choice, if it changes (within EPLMNs), has already been implicitly made by the UE's cell selection and the new NG-RAN node's decision to serve that UE.</w:t>
      </w:r>
    </w:p>
    <w:p>
      <w:pPr>
        <w:rPr>
          <w:sz w:val="20"/>
          <w:szCs w:val="20"/>
        </w:rPr>
      </w:pPr>
      <w:r>
        <w:rPr>
          <w:sz w:val="20"/>
          <w:szCs w:val="20"/>
        </w:rPr>
        <w:t xml:space="preserve">In summary, while PLMN changes can occur during both Xn Handover and UE Context Retrieval (within certain limits), the decision-making process for PLMN selection primarily resides with the source RAN node during an active handover and is more a result of UE's cell selection and the new RAN node's capabilities/policies during context retrieval from an inactive state. The old </w:t>
      </w:r>
      <w:r>
        <w:rPr>
          <w:rFonts w:hint="eastAsia"/>
          <w:sz w:val="20"/>
          <w:szCs w:val="20"/>
          <w:lang w:val="en-US" w:eastAsia="zh-CN"/>
        </w:rPr>
        <w:t>node</w:t>
      </w:r>
      <w:r>
        <w:rPr>
          <w:sz w:val="20"/>
          <w:szCs w:val="20"/>
        </w:rPr>
        <w:t xml:space="preserve"> in a context retrieval scenario is merely a data provider for the existing context.</w:t>
      </w:r>
    </w:p>
    <w:p>
      <w:pPr>
        <w:rPr>
          <w:rFonts w:hint="default" w:eastAsia="Times New Roman"/>
          <w:b/>
          <w:bCs/>
          <w:sz w:val="24"/>
          <w:lang w:val="en-US" w:eastAsia="zh-CN"/>
        </w:rPr>
      </w:pPr>
      <w:r>
        <w:rPr>
          <w:rFonts w:hint="eastAsia" w:eastAsia="Times New Roman"/>
          <w:b/>
          <w:bCs/>
          <w:sz w:val="24"/>
          <w:lang w:val="en-US" w:eastAsia="zh-CN"/>
        </w:rPr>
        <w:t>Proposal: No motivation for old NG-RAN node to select serving PLMN during UE context retrieval, no stage 2 description need to be updated.</w:t>
      </w:r>
    </w:p>
    <w:p>
      <w:pPr>
        <w:pStyle w:val="6"/>
        <w:rPr>
          <w:rFonts w:eastAsia="等线"/>
          <w:lang w:eastAsia="zh-CN"/>
        </w:rPr>
      </w:pPr>
      <w:r>
        <w:t>Conclusion</w:t>
      </w:r>
    </w:p>
    <w:p>
      <w:pPr>
        <w:rPr>
          <w:rFonts w:hint="eastAsia" w:eastAsia="宋体"/>
          <w:lang w:val="en-US" w:eastAsia="zh-CN"/>
        </w:rPr>
      </w:pPr>
      <w:r>
        <w:rPr>
          <w:rFonts w:hint="eastAsia" w:eastAsia="宋体"/>
          <w:lang w:val="en-US" w:eastAsia="zh-CN"/>
        </w:rPr>
        <w:t>In this contribution, we provide the following observations and proposal:</w:t>
      </w:r>
    </w:p>
    <w:p>
      <w:pPr>
        <w:rPr>
          <w:rFonts w:hint="eastAsia" w:eastAsia="Times New Roman"/>
          <w:b/>
          <w:bCs/>
          <w:sz w:val="24"/>
          <w:lang w:val="en-US" w:eastAsia="zh-CN"/>
        </w:rPr>
      </w:pPr>
      <w:r>
        <w:rPr>
          <w:rFonts w:hint="eastAsia" w:eastAsia="Times New Roman"/>
          <w:b/>
          <w:bCs/>
          <w:sz w:val="24"/>
          <w:lang w:val="en-US" w:eastAsia="zh-CN"/>
        </w:rPr>
        <w:t>Observation 1:  During the RRC connection resume process, the PLMN selection action is performed by the UE, and the UE informs the new gNB of the index of the PLMN it selected from the SIB1 broadcast list by including the selectedPLMN-Identity Information Element in the RRCResumeComplete message.</w:t>
      </w:r>
    </w:p>
    <w:p>
      <w:pPr>
        <w:rPr>
          <w:rFonts w:hint="eastAsia" w:eastAsia="Times New Roman"/>
          <w:b/>
          <w:bCs/>
          <w:sz w:val="24"/>
          <w:lang w:val="en-US" w:eastAsia="zh-CN"/>
        </w:rPr>
      </w:pPr>
      <w:r>
        <w:rPr>
          <w:rFonts w:hint="eastAsia" w:eastAsia="Times New Roman"/>
          <w:b/>
          <w:bCs/>
          <w:sz w:val="24"/>
          <w:lang w:val="en-US" w:eastAsia="zh-CN"/>
        </w:rPr>
        <w:t>Observation 2:  During the UE context retrieval procedure, neither new gNB nor old gNB know the PLMN selected by the UE.</w:t>
      </w:r>
    </w:p>
    <w:p>
      <w:pPr>
        <w:rPr>
          <w:rFonts w:hint="eastAsia" w:eastAsia="Times New Roman"/>
          <w:b/>
          <w:bCs/>
          <w:sz w:val="24"/>
          <w:lang w:val="en-US" w:eastAsia="zh-CN"/>
        </w:rPr>
      </w:pPr>
      <w:r>
        <w:rPr>
          <w:rFonts w:hint="eastAsia" w:eastAsia="Times New Roman"/>
          <w:b/>
          <w:bCs/>
          <w:sz w:val="24"/>
          <w:lang w:val="en-US" w:eastAsia="zh-CN"/>
        </w:rPr>
        <w:t>Observation 3: RRC re-establishment is a recovery mechanism within the currently connected PLMN, designed to maintain service continuity, rather than a process for the UE to choose a new network operator</w:t>
      </w:r>
    </w:p>
    <w:p>
      <w:pPr>
        <w:rPr>
          <w:rFonts w:hint="default" w:eastAsia="Times New Roman"/>
          <w:b/>
          <w:bCs/>
          <w:sz w:val="24"/>
          <w:lang w:val="en-US" w:eastAsia="zh-CN"/>
        </w:rPr>
      </w:pPr>
      <w:r>
        <w:rPr>
          <w:rFonts w:hint="eastAsia" w:eastAsia="Times New Roman"/>
          <w:b/>
          <w:bCs/>
          <w:sz w:val="24"/>
          <w:lang w:val="en-US" w:eastAsia="zh-CN"/>
        </w:rPr>
        <w:t>Proposal: No motivation for old NG-RAN node to select serving PLMN during UE context retrieval, no stage 2 description need to be updated.</w:t>
      </w:r>
    </w:p>
    <w:p>
      <w:pPr>
        <w:pStyle w:val="6"/>
        <w:ind w:left="431" w:hanging="431"/>
      </w:pPr>
      <w:bookmarkStart w:id="0" w:name="_Hlk111487317"/>
      <w:r>
        <w:t>Ref</w:t>
      </w:r>
      <w:r>
        <w:rPr>
          <w:rFonts w:hint="eastAsia" w:eastAsia="宋体"/>
          <w:lang w:val="en-US" w:eastAsia="zh-CN"/>
        </w:rPr>
        <w:t>e</w:t>
      </w:r>
      <w:r>
        <w:t>rence</w:t>
      </w:r>
    </w:p>
    <w:p>
      <w:pPr>
        <w:rPr>
          <w:rFonts w:cs="Calibri"/>
          <w:sz w:val="18"/>
          <w:lang w:eastAsia="en-US"/>
        </w:rPr>
      </w:pPr>
      <w:r>
        <w:rPr>
          <w:rFonts w:cs="Calibri"/>
          <w:sz w:val="18"/>
          <w:lang w:eastAsia="en-US"/>
        </w:rPr>
        <w:t xml:space="preserve">[1] </w:t>
      </w:r>
      <w:r>
        <w:fldChar w:fldCharType="begin"/>
      </w:r>
      <w:r>
        <w:instrText xml:space="preserve"> HYPERLINK "file:///D:\\会议硬盘\\TSGR3_128\\Docs\\R3-253738.zip" </w:instrText>
      </w:r>
      <w:r>
        <w:fldChar w:fldCharType="separate"/>
      </w:r>
      <w:r>
        <w:rPr>
          <w:rFonts w:cs="Calibri"/>
          <w:sz w:val="18"/>
          <w:lang w:eastAsia="en-US"/>
        </w:rPr>
        <w:t>R3-253738</w:t>
      </w:r>
      <w:r>
        <w:rPr>
          <w:rFonts w:cs="Calibri"/>
          <w:sz w:val="18"/>
          <w:lang w:eastAsia="en-US"/>
        </w:rPr>
        <w:fldChar w:fldCharType="end"/>
      </w:r>
      <w:r>
        <w:rPr>
          <w:rFonts w:cs="Calibri"/>
          <w:sz w:val="18"/>
          <w:lang w:eastAsia="en-US"/>
        </w:rPr>
        <w:t xml:space="preserve"> Clarification for propagation of MDT Configuration in stage2 (ZTE Corporation,China Unicom,China Telecom,CMCC, Huawei)</w:t>
      </w:r>
    </w:p>
    <w:p>
      <w:r>
        <w:rPr>
          <w:rFonts w:cs="Calibri"/>
          <w:sz w:val="18"/>
          <w:lang w:eastAsia="en-US"/>
        </w:rPr>
        <w:t xml:space="preserve">[2] </w:t>
      </w:r>
      <w:r>
        <w:fldChar w:fldCharType="begin"/>
      </w:r>
      <w:r>
        <w:instrText xml:space="preserve"> HYPERLINK "file:///D:\\会议硬盘\\TSGR3_128\\Docs\\R3-253273.zip" </w:instrText>
      </w:r>
      <w:r>
        <w:fldChar w:fldCharType="separate"/>
      </w:r>
      <w:r>
        <w:rPr>
          <w:rFonts w:cs="Calibri"/>
          <w:sz w:val="18"/>
          <w:lang w:eastAsia="en-US"/>
        </w:rPr>
        <w:t>R3-253273</w:t>
      </w:r>
      <w:r>
        <w:rPr>
          <w:rFonts w:cs="Calibri"/>
          <w:sz w:val="18"/>
          <w:lang w:eastAsia="en-US"/>
        </w:rPr>
        <w:fldChar w:fldCharType="end"/>
      </w:r>
      <w:r>
        <w:rPr>
          <w:rFonts w:cs="Calibri"/>
          <w:sz w:val="18"/>
          <w:lang w:eastAsia="en-US"/>
        </w:rPr>
        <w:t xml:space="preserve"> Clarification for propagation of roaming and access restrictions (Samsung)</w:t>
      </w:r>
    </w:p>
    <w:p>
      <w:pPr>
        <w:pStyle w:val="6"/>
        <w:ind w:left="431" w:hanging="431"/>
      </w:pPr>
      <w:r>
        <w:t xml:space="preserve">Annex 1 RRCResumeComplete message </w:t>
      </w:r>
    </w:p>
    <w:p>
      <w:pPr>
        <w:pStyle w:val="9"/>
      </w:pPr>
      <w:bookmarkStart w:id="1" w:name="_Toc156130236"/>
      <w:bookmarkStart w:id="2" w:name="_Toc60777113"/>
      <w:r>
        <w:t>–</w:t>
      </w:r>
      <w:r>
        <w:tab/>
      </w:r>
      <w:r>
        <w:rPr>
          <w:i/>
        </w:rPr>
        <w:t>RRCResumeComplete</w:t>
      </w:r>
      <w:bookmarkEnd w:id="1"/>
      <w:bookmarkEnd w:id="2"/>
    </w:p>
    <w:p>
      <w:r>
        <w:t xml:space="preserve">The </w:t>
      </w:r>
      <w:r>
        <w:rPr>
          <w:i/>
        </w:rPr>
        <w:t>RRCResumeComplete</w:t>
      </w:r>
      <w:r>
        <w:t xml:space="preserve"> message is used to confirm the successful completion of an RRC connection resumption.</w:t>
      </w:r>
    </w:p>
    <w:p>
      <w:pPr>
        <w:pStyle w:val="42"/>
      </w:pPr>
      <w:r>
        <w:t>Signalling radio bearer: SRB1</w:t>
      </w:r>
    </w:p>
    <w:p>
      <w:pPr>
        <w:pStyle w:val="42"/>
      </w:pPr>
      <w:r>
        <w:t>RLC-SAP: AM</w:t>
      </w:r>
    </w:p>
    <w:p>
      <w:pPr>
        <w:pStyle w:val="42"/>
      </w:pPr>
      <w:r>
        <w:t>Logical channel: DCCH</w:t>
      </w:r>
    </w:p>
    <w:p>
      <w:pPr>
        <w:pStyle w:val="42"/>
      </w:pPr>
      <w:r>
        <w:t>Direction: UE to Network</w:t>
      </w:r>
    </w:p>
    <w:p>
      <w:pPr>
        <w:pStyle w:val="65"/>
      </w:pPr>
      <w:r>
        <w:rPr>
          <w:i/>
        </w:rPr>
        <w:t>RRCResumeComplete</w:t>
      </w:r>
      <w:r>
        <w:t xml:space="preserve"> message</w:t>
      </w:r>
    </w:p>
    <w:p>
      <w:pPr>
        <w:pStyle w:val="69"/>
        <w:rPr>
          <w:color w:val="808080"/>
        </w:rPr>
      </w:pPr>
      <w:r>
        <w:rPr>
          <w:color w:val="808080"/>
        </w:rPr>
        <w:t>-- ASN1START</w:t>
      </w:r>
    </w:p>
    <w:p>
      <w:pPr>
        <w:pStyle w:val="69"/>
        <w:rPr>
          <w:color w:val="808080"/>
        </w:rPr>
      </w:pPr>
      <w:r>
        <w:rPr>
          <w:color w:val="808080"/>
        </w:rPr>
        <w:t>-- TAG-RRCRESUMECOMPLETE-START</w:t>
      </w:r>
    </w:p>
    <w:p>
      <w:pPr>
        <w:pStyle w:val="69"/>
      </w:pPr>
    </w:p>
    <w:p>
      <w:pPr>
        <w:pStyle w:val="69"/>
      </w:pPr>
      <w:r>
        <w:t xml:space="preserve">RRCResumeComplete ::=                   </w:t>
      </w:r>
      <w:r>
        <w:rPr>
          <w:color w:val="993366"/>
        </w:rPr>
        <w:t>SEQUENCE</w:t>
      </w:r>
      <w:r>
        <w:t xml:space="preserve"> {</w:t>
      </w:r>
    </w:p>
    <w:p>
      <w:pPr>
        <w:pStyle w:val="69"/>
      </w:pPr>
      <w:r>
        <w:t xml:space="preserve">    rrc-TransactionIdentifier               RRC-TransactionIdentifier,</w:t>
      </w:r>
    </w:p>
    <w:p>
      <w:pPr>
        <w:pStyle w:val="69"/>
      </w:pPr>
      <w:r>
        <w:t xml:space="preserve">    criticalExtensions                      </w:t>
      </w:r>
      <w:r>
        <w:rPr>
          <w:color w:val="993366"/>
        </w:rPr>
        <w:t>CHOICE</w:t>
      </w:r>
      <w:r>
        <w:t xml:space="preserve"> {</w:t>
      </w:r>
    </w:p>
    <w:p>
      <w:pPr>
        <w:pStyle w:val="69"/>
      </w:pPr>
      <w:r>
        <w:t xml:space="preserve">        rrcResumeComplete                       RRCResumeComplete-IEs,</w:t>
      </w:r>
    </w:p>
    <w:p>
      <w:pPr>
        <w:pStyle w:val="69"/>
      </w:pPr>
      <w:r>
        <w:t xml:space="preserve">        criticalExtensionsFuture                </w:t>
      </w:r>
      <w:r>
        <w:rPr>
          <w:color w:val="993366"/>
        </w:rPr>
        <w:t>SEQUENCE</w:t>
      </w:r>
      <w:r>
        <w:t xml:space="preserve"> {}</w:t>
      </w:r>
    </w:p>
    <w:p>
      <w:pPr>
        <w:pStyle w:val="69"/>
      </w:pPr>
      <w:r>
        <w:t xml:space="preserve">    }</w:t>
      </w:r>
    </w:p>
    <w:p>
      <w:pPr>
        <w:pStyle w:val="69"/>
      </w:pPr>
      <w:r>
        <w:t>}</w:t>
      </w:r>
    </w:p>
    <w:p>
      <w:pPr>
        <w:pStyle w:val="69"/>
      </w:pPr>
    </w:p>
    <w:p>
      <w:pPr>
        <w:pStyle w:val="69"/>
      </w:pPr>
      <w:r>
        <w:t xml:space="preserve">RRCResumeComplete-IEs ::=               </w:t>
      </w:r>
      <w:r>
        <w:rPr>
          <w:color w:val="993366"/>
        </w:rPr>
        <w:t>SEQUENCE</w:t>
      </w:r>
      <w:r>
        <w:t xml:space="preserve"> {</w:t>
      </w:r>
    </w:p>
    <w:p>
      <w:pPr>
        <w:pStyle w:val="69"/>
      </w:pPr>
      <w:r>
        <w:t xml:space="preserve">    dedicatedNAS-Message                    DedicatedNAS-Message                                                    </w:t>
      </w:r>
      <w:r>
        <w:rPr>
          <w:color w:val="993366"/>
        </w:rPr>
        <w:t>OPTIONAL</w:t>
      </w:r>
      <w:r>
        <w:t>,</w:t>
      </w:r>
    </w:p>
    <w:p>
      <w:pPr>
        <w:pStyle w:val="69"/>
      </w:pPr>
      <w:r>
        <w:t xml:space="preserve">    </w:t>
      </w:r>
      <w:r>
        <w:rPr>
          <w:highlight w:val="yellow"/>
        </w:rPr>
        <w:t xml:space="preserve">selectedPLMN-Identity                   </w:t>
      </w:r>
      <w:r>
        <w:rPr>
          <w:color w:val="993366"/>
          <w:highlight w:val="yellow"/>
        </w:rPr>
        <w:t>INTEGER</w:t>
      </w:r>
      <w:r>
        <w:rPr>
          <w:highlight w:val="yellow"/>
        </w:rPr>
        <w:t xml:space="preserve"> (1..maxPLMN</w:t>
      </w:r>
      <w:r>
        <w:t xml:space="preserve">)                                                    </w:t>
      </w:r>
      <w:r>
        <w:rPr>
          <w:color w:val="993366"/>
        </w:rPr>
        <w:t>OPTIONAL</w:t>
      </w:r>
      <w:r>
        <w:t>,</w:t>
      </w:r>
    </w:p>
    <w:p>
      <w:pPr>
        <w:pStyle w:val="69"/>
      </w:pPr>
      <w:r>
        <w:t xml:space="preserve">    uplinkTxDirectCurrentList               UplinkTxDirectCurrentList                                               </w:t>
      </w:r>
      <w:r>
        <w:rPr>
          <w:color w:val="993366"/>
        </w:rPr>
        <w:t>OPTIONAL</w:t>
      </w:r>
      <w:r>
        <w:t>,</w:t>
      </w:r>
    </w:p>
    <w:p>
      <w:pPr>
        <w:pStyle w:val="69"/>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9"/>
      </w:pPr>
      <w:r>
        <w:t xml:space="preserve">    nonCriticalExtension                    RRCResumeComplete-v1610-IEs                                             </w:t>
      </w:r>
      <w:r>
        <w:rPr>
          <w:color w:val="993366"/>
        </w:rPr>
        <w:t>OPTIONAL</w:t>
      </w:r>
    </w:p>
    <w:p>
      <w:pPr>
        <w:pStyle w:val="69"/>
      </w:pPr>
      <w:r>
        <w:t>}</w:t>
      </w:r>
    </w:p>
    <w:p>
      <w:pPr>
        <w:pStyle w:val="69"/>
      </w:pPr>
    </w:p>
    <w:p>
      <w:pPr>
        <w:pStyle w:val="69"/>
      </w:pPr>
      <w:r>
        <w:t xml:space="preserve">RRCResumeComplete-v1610-IEs ::=         </w:t>
      </w:r>
      <w:r>
        <w:rPr>
          <w:color w:val="993366"/>
        </w:rPr>
        <w:t>SEQUENCE</w:t>
      </w:r>
      <w:r>
        <w:t xml:space="preserve"> {</w:t>
      </w:r>
    </w:p>
    <w:p>
      <w:pPr>
        <w:pStyle w:val="69"/>
      </w:pPr>
      <w:r>
        <w:t xml:space="preserve">    idleMeasAvailable-r16                   </w:t>
      </w:r>
      <w:r>
        <w:rPr>
          <w:color w:val="993366"/>
        </w:rPr>
        <w:t>ENUMERATED</w:t>
      </w:r>
      <w:r>
        <w:t xml:space="preserve"> {true}                                                       </w:t>
      </w:r>
      <w:r>
        <w:rPr>
          <w:color w:val="993366"/>
        </w:rPr>
        <w:t>OPTIONAL</w:t>
      </w:r>
      <w:r>
        <w:t>,</w:t>
      </w:r>
    </w:p>
    <w:p>
      <w:pPr>
        <w:pStyle w:val="69"/>
      </w:pPr>
      <w:r>
        <w:t xml:space="preserve">    measResultIdleEUTRA-r16                 MeasResultIdleEUTRA-r16                                                 </w:t>
      </w:r>
      <w:r>
        <w:rPr>
          <w:color w:val="993366"/>
        </w:rPr>
        <w:t>OPTIONAL</w:t>
      </w:r>
      <w:r>
        <w:t>,</w:t>
      </w:r>
    </w:p>
    <w:p>
      <w:pPr>
        <w:pStyle w:val="69"/>
      </w:pPr>
      <w:r>
        <w:t xml:space="preserve">    measResultIdleNR-r16                    MeasResultIdleNR-r16                                                    </w:t>
      </w:r>
      <w:r>
        <w:rPr>
          <w:color w:val="993366"/>
        </w:rPr>
        <w:t>OPTIONAL</w:t>
      </w:r>
      <w:r>
        <w:t>,</w:t>
      </w:r>
    </w:p>
    <w:p>
      <w:pPr>
        <w:pStyle w:val="69"/>
      </w:pPr>
      <w:r>
        <w:t xml:space="preserve">    scg-Response-r16                        </w:t>
      </w:r>
      <w:r>
        <w:rPr>
          <w:color w:val="993366"/>
        </w:rPr>
        <w:t>CHOICE</w:t>
      </w:r>
      <w:r>
        <w:t xml:space="preserve"> {</w:t>
      </w:r>
    </w:p>
    <w:p>
      <w:pPr>
        <w:pStyle w:val="69"/>
      </w:pPr>
      <w:r>
        <w:t xml:space="preserve">        nr-SCG-Response                         </w:t>
      </w:r>
      <w:r>
        <w:rPr>
          <w:color w:val="993366"/>
        </w:rPr>
        <w:t>OCTET</w:t>
      </w:r>
      <w:r>
        <w:t xml:space="preserve"> </w:t>
      </w:r>
      <w:r>
        <w:rPr>
          <w:color w:val="993366"/>
        </w:rPr>
        <w:t>STRING</w:t>
      </w:r>
      <w:r>
        <w:t xml:space="preserve"> (CONTAINING RRCReconfigurationComplete),</w:t>
      </w:r>
    </w:p>
    <w:p>
      <w:pPr>
        <w:pStyle w:val="69"/>
      </w:pPr>
      <w:r>
        <w:t xml:space="preserve">        eutra-SCG-Response                      </w:t>
      </w:r>
      <w:r>
        <w:rPr>
          <w:color w:val="993366"/>
        </w:rPr>
        <w:t>OCTET</w:t>
      </w:r>
      <w:r>
        <w:t xml:space="preserve"> </w:t>
      </w:r>
      <w:r>
        <w:rPr>
          <w:color w:val="993366"/>
        </w:rPr>
        <w:t>STRING</w:t>
      </w:r>
    </w:p>
    <w:p>
      <w:pPr>
        <w:pStyle w:val="69"/>
      </w:pPr>
      <w:r>
        <w:t xml:space="preserve">    }                                                                                                               </w:t>
      </w:r>
      <w:r>
        <w:rPr>
          <w:color w:val="993366"/>
        </w:rPr>
        <w:t>OPTIONAL</w:t>
      </w:r>
      <w:r>
        <w:t>,</w:t>
      </w:r>
    </w:p>
    <w:p>
      <w:pPr>
        <w:pStyle w:val="69"/>
      </w:pPr>
      <w:r>
        <w:t xml:space="preserve">    ue-MeasurementsAvailable-r16            UE-MeasurementsAvailable-r16                                            </w:t>
      </w:r>
      <w:r>
        <w:rPr>
          <w:color w:val="993366"/>
        </w:rPr>
        <w:t>OPTIONAL</w:t>
      </w:r>
      <w:r>
        <w:t>,</w:t>
      </w:r>
    </w:p>
    <w:p>
      <w:pPr>
        <w:pStyle w:val="69"/>
      </w:pPr>
      <w:r>
        <w:t xml:space="preserve">    mobilityHistoryAvail-r16                </w:t>
      </w:r>
      <w:r>
        <w:rPr>
          <w:color w:val="993366"/>
        </w:rPr>
        <w:t>ENUMERATED</w:t>
      </w:r>
      <w:r>
        <w:t xml:space="preserve"> {true}                                                       </w:t>
      </w:r>
      <w:r>
        <w:rPr>
          <w:color w:val="993366"/>
        </w:rPr>
        <w:t>OPTIONAL</w:t>
      </w:r>
      <w:r>
        <w:t>,</w:t>
      </w:r>
    </w:p>
    <w:p>
      <w:pPr>
        <w:pStyle w:val="69"/>
      </w:pPr>
      <w:r>
        <w:t xml:space="preserve">    mobilityState-r16                       </w:t>
      </w:r>
      <w:r>
        <w:rPr>
          <w:color w:val="993366"/>
        </w:rPr>
        <w:t>ENUMERATED</w:t>
      </w:r>
      <w:r>
        <w:t xml:space="preserve"> {normal, medium, high, spare}                                </w:t>
      </w:r>
      <w:r>
        <w:rPr>
          <w:color w:val="993366"/>
        </w:rPr>
        <w:t>OPTIONAL</w:t>
      </w:r>
      <w:r>
        <w:t>,</w:t>
      </w:r>
    </w:p>
    <w:p>
      <w:pPr>
        <w:pStyle w:val="69"/>
      </w:pPr>
      <w:r>
        <w:t xml:space="preserve">    needForGapsInfoNR-r16                   NeedForGapsInfoNR-r16                                                   </w:t>
      </w:r>
      <w:r>
        <w:rPr>
          <w:color w:val="993366"/>
        </w:rPr>
        <w:t>OPTIONAL</w:t>
      </w:r>
      <w:r>
        <w:t>,</w:t>
      </w:r>
    </w:p>
    <w:p>
      <w:pPr>
        <w:pStyle w:val="69"/>
      </w:pPr>
      <w:r>
        <w:t xml:space="preserve">    nonCriticalExtension                    RRCResumeComplete-v1640-IEs                                             </w:t>
      </w:r>
      <w:r>
        <w:rPr>
          <w:color w:val="993366"/>
        </w:rPr>
        <w:t>OPTIONAL</w:t>
      </w:r>
    </w:p>
    <w:p>
      <w:pPr>
        <w:pStyle w:val="69"/>
      </w:pPr>
      <w:r>
        <w:t>}</w:t>
      </w:r>
    </w:p>
    <w:p>
      <w:pPr>
        <w:pStyle w:val="69"/>
      </w:pPr>
    </w:p>
    <w:p>
      <w:pPr>
        <w:pStyle w:val="69"/>
      </w:pPr>
      <w:r>
        <w:t xml:space="preserve">RRCResumeComplete-v1640-IEs ::=         </w:t>
      </w:r>
      <w:r>
        <w:rPr>
          <w:color w:val="993366"/>
        </w:rPr>
        <w:t>SEQUENCE</w:t>
      </w:r>
      <w:r>
        <w:t xml:space="preserve"> {</w:t>
      </w:r>
    </w:p>
    <w:p>
      <w:pPr>
        <w:pStyle w:val="69"/>
      </w:pPr>
      <w:r>
        <w:t xml:space="preserve">    uplinkTxDirectCurrentTwoCarrierList-r16 UplinkTxDirectCurrentTwoCarrierList-r16                                 </w:t>
      </w:r>
      <w:r>
        <w:rPr>
          <w:color w:val="993366"/>
        </w:rPr>
        <w:t>OPTIONAL</w:t>
      </w:r>
      <w:r>
        <w:t>,</w:t>
      </w:r>
    </w:p>
    <w:p>
      <w:pPr>
        <w:pStyle w:val="69"/>
      </w:pPr>
      <w:r>
        <w:t xml:space="preserve">    nonCriticalExtension                    RRCResumeComplete-v1700-IEs                                             </w:t>
      </w:r>
      <w:r>
        <w:rPr>
          <w:color w:val="993366"/>
        </w:rPr>
        <w:t>OPTIONAL</w:t>
      </w:r>
    </w:p>
    <w:p>
      <w:pPr>
        <w:pStyle w:val="69"/>
      </w:pPr>
      <w:r>
        <w:t>}</w:t>
      </w:r>
    </w:p>
    <w:p>
      <w:pPr>
        <w:pStyle w:val="69"/>
      </w:pPr>
    </w:p>
    <w:p>
      <w:pPr>
        <w:pStyle w:val="69"/>
      </w:pPr>
      <w:r>
        <w:t xml:space="preserve">RRCResumeComplete-v1700-IEs ::=         </w:t>
      </w:r>
      <w:r>
        <w:rPr>
          <w:color w:val="993366"/>
        </w:rPr>
        <w:t>SEQUENCE</w:t>
      </w:r>
      <w:r>
        <w:t xml:space="preserve"> {</w:t>
      </w:r>
    </w:p>
    <w:p>
      <w:pPr>
        <w:pStyle w:val="69"/>
      </w:pPr>
      <w:r>
        <w:t xml:space="preserve">    needForGapNCSG-InfoNR-r17               NeedForGapNCSG-InfoNR-r17                                               </w:t>
      </w:r>
      <w:r>
        <w:rPr>
          <w:color w:val="993366"/>
        </w:rPr>
        <w:t>OPTIONAL</w:t>
      </w:r>
      <w:r>
        <w:t>,</w:t>
      </w:r>
    </w:p>
    <w:p>
      <w:pPr>
        <w:pStyle w:val="69"/>
      </w:pPr>
      <w:r>
        <w:t xml:space="preserve">    needForGapNCSG-InfoEUTRA-r17            NeedForGapNCSG-InfoEUTRA-r17                                            </w:t>
      </w:r>
      <w:r>
        <w:rPr>
          <w:color w:val="993366"/>
        </w:rPr>
        <w:t>OPTIONAL</w:t>
      </w:r>
      <w:r>
        <w:t>,</w:t>
      </w:r>
    </w:p>
    <w:p>
      <w:pPr>
        <w:pStyle w:val="69"/>
      </w:pPr>
      <w:r>
        <w:t xml:space="preserve">    nonCriticalExtension                    RRCResumeComplete-v1720-IEs                                             </w:t>
      </w:r>
      <w:r>
        <w:rPr>
          <w:color w:val="993366"/>
        </w:rPr>
        <w:t>OPTIONAL</w:t>
      </w:r>
    </w:p>
    <w:p>
      <w:pPr>
        <w:pStyle w:val="69"/>
      </w:pPr>
      <w:r>
        <w:t>}</w:t>
      </w:r>
    </w:p>
    <w:p>
      <w:pPr>
        <w:pStyle w:val="69"/>
      </w:pPr>
    </w:p>
    <w:p>
      <w:pPr>
        <w:pStyle w:val="69"/>
      </w:pPr>
      <w:r>
        <w:t xml:space="preserve">RRCResumeComplete-v1720-IEs ::=         </w:t>
      </w:r>
      <w:r>
        <w:rPr>
          <w:color w:val="993366"/>
        </w:rPr>
        <w:t>SEQUENCE</w:t>
      </w:r>
      <w:r>
        <w:t xml:space="preserve"> {</w:t>
      </w:r>
    </w:p>
    <w:p>
      <w:pPr>
        <w:pStyle w:val="69"/>
      </w:pPr>
      <w:r>
        <w:t xml:space="preserve">    uplinkTxDirectCurrentMoreCarrierList-r17 UplinkTxDirectCurrentMoreCarrierList-r17                               </w:t>
      </w:r>
      <w:r>
        <w:rPr>
          <w:color w:val="993366"/>
        </w:rPr>
        <w:t>OPTIONAL</w:t>
      </w:r>
      <w:r>
        <w:t>,</w:t>
      </w:r>
    </w:p>
    <w:p>
      <w:pPr>
        <w:pStyle w:val="69"/>
      </w:pPr>
      <w:r>
        <w:t xml:space="preserve">    nonCriticalExtension                     RRCResumeComplete-v1800-IEs                                            </w:t>
      </w:r>
      <w:r>
        <w:rPr>
          <w:color w:val="993366"/>
        </w:rPr>
        <w:t>OPTIONAL</w:t>
      </w:r>
    </w:p>
    <w:p>
      <w:pPr>
        <w:pStyle w:val="69"/>
      </w:pPr>
      <w:r>
        <w:t>}</w:t>
      </w:r>
    </w:p>
    <w:p>
      <w:pPr>
        <w:pStyle w:val="69"/>
      </w:pPr>
    </w:p>
    <w:p>
      <w:pPr>
        <w:pStyle w:val="69"/>
      </w:pPr>
      <w:r>
        <w:t xml:space="preserve">RRCResumeComplete-v1800-IEs ::=         </w:t>
      </w:r>
      <w:r>
        <w:rPr>
          <w:color w:val="993366"/>
        </w:rPr>
        <w:t>SEQUENCE</w:t>
      </w:r>
      <w:r>
        <w:t xml:space="preserve"> {</w:t>
      </w:r>
    </w:p>
    <w:p>
      <w:pPr>
        <w:pStyle w:val="69"/>
      </w:pPr>
      <w:r>
        <w:t xml:space="preserve">    needForInterruptionInfoNR-r18           NeedForInterruptionInfoNR-r18                                           </w:t>
      </w:r>
      <w:r>
        <w:rPr>
          <w:color w:val="993366"/>
        </w:rPr>
        <w:t>OPTIONAL</w:t>
      </w:r>
      <w:r>
        <w:t>,</w:t>
      </w:r>
    </w:p>
    <w:p>
      <w:pPr>
        <w:pStyle w:val="69"/>
      </w:pPr>
      <w:r>
        <w:t xml:space="preserve">    musim-CapRestrictionInd-r18             </w:t>
      </w:r>
      <w:r>
        <w:rPr>
          <w:color w:val="993366"/>
        </w:rPr>
        <w:t>ENUMERATED</w:t>
      </w:r>
      <w:r>
        <w:t xml:space="preserve"> {true}                                                       </w:t>
      </w:r>
      <w:r>
        <w:rPr>
          <w:color w:val="993366"/>
        </w:rPr>
        <w:t>OPTIONAL</w:t>
      </w:r>
      <w:r>
        <w:t>,</w:t>
      </w:r>
    </w:p>
    <w:p>
      <w:pPr>
        <w:pStyle w:val="69"/>
      </w:pPr>
      <w:r>
        <w:t xml:space="preserve">    flightPathInfoAvailable-r18             </w:t>
      </w:r>
      <w:r>
        <w:rPr>
          <w:color w:val="993366"/>
        </w:rPr>
        <w:t>ENUMERATED</w:t>
      </w:r>
      <w:r>
        <w:t xml:space="preserve"> {true}                                                       </w:t>
      </w:r>
      <w:r>
        <w:rPr>
          <w:color w:val="993366"/>
        </w:rPr>
        <w:t>OPTIONAL</w:t>
      </w:r>
      <w:r>
        <w:t>,</w:t>
      </w:r>
    </w:p>
    <w:p>
      <w:pPr>
        <w:pStyle w:val="69"/>
      </w:pPr>
      <w:r>
        <w:t xml:space="preserve">    measConfigReportAppLayerAvailable-r18   </w:t>
      </w:r>
      <w:r>
        <w:rPr>
          <w:color w:val="993366"/>
        </w:rPr>
        <w:t>ENUMERATED</w:t>
      </w:r>
      <w:r>
        <w:t xml:space="preserve"> {true}                                                       </w:t>
      </w:r>
      <w:r>
        <w:rPr>
          <w:color w:val="993366"/>
        </w:rPr>
        <w:t>OPTIONAL</w:t>
      </w:r>
      <w:r>
        <w:t>,</w:t>
      </w:r>
    </w:p>
    <w:p>
      <w:pPr>
        <w:pStyle w:val="69"/>
      </w:pPr>
      <w:r>
        <w:t xml:space="preserve">    nonCriticalExtension                    </w:t>
      </w:r>
      <w:r>
        <w:rPr>
          <w:color w:val="993366"/>
        </w:rPr>
        <w:t>SEQUENCE</w:t>
      </w:r>
      <w:r>
        <w:t xml:space="preserve"> {}                                                             </w:t>
      </w:r>
      <w:r>
        <w:rPr>
          <w:color w:val="993366"/>
        </w:rPr>
        <w:t>OPTIONAL</w:t>
      </w:r>
    </w:p>
    <w:p>
      <w:pPr>
        <w:pStyle w:val="69"/>
      </w:pPr>
      <w:r>
        <w:t>}</w:t>
      </w:r>
    </w:p>
    <w:p>
      <w:pPr>
        <w:pStyle w:val="69"/>
      </w:pPr>
    </w:p>
    <w:p>
      <w:pPr>
        <w:pStyle w:val="69"/>
        <w:rPr>
          <w:color w:val="808080"/>
        </w:rPr>
      </w:pPr>
      <w:r>
        <w:rPr>
          <w:color w:val="808080"/>
        </w:rPr>
        <w:t>-- TAG-RRCRESUMECOMPLETE-STOP</w:t>
      </w:r>
    </w:p>
    <w:p>
      <w:pPr>
        <w:pStyle w:val="69"/>
        <w:rPr>
          <w:color w:val="808080"/>
        </w:rPr>
      </w:pPr>
      <w:r>
        <w:rPr>
          <w:color w:val="808080"/>
        </w:rPr>
        <w:t>-- ASN1STOP</w:t>
      </w:r>
    </w:p>
    <w:p/>
    <w:tbl>
      <w:tblPr>
        <w:tblStyle w:val="2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1"/>
              <w:rPr>
                <w:szCs w:val="22"/>
                <w:lang w:eastAsia="sv-SE"/>
              </w:rPr>
            </w:pPr>
            <w:r>
              <w:rPr>
                <w:i/>
                <w:szCs w:val="22"/>
                <w:lang w:eastAsia="sv-SE"/>
              </w:rPr>
              <w:t xml:space="preserve">RRCResumeComplete-IEs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lang w:eastAsia="en-GB"/>
              </w:rPr>
            </w:pPr>
            <w:r>
              <w:rPr>
                <w:b/>
                <w:bCs/>
                <w:i/>
                <w:lang w:eastAsia="en-GB"/>
              </w:rPr>
              <w:t>idleMeasAvailable</w:t>
            </w:r>
          </w:p>
          <w:p>
            <w:pPr>
              <w:pStyle w:val="63"/>
              <w:rPr>
                <w:b/>
                <w:i/>
                <w:szCs w:val="22"/>
                <w:lang w:eastAsia="sv-SE"/>
              </w:rPr>
            </w:pPr>
            <w:r>
              <w:rPr>
                <w:lang w:eastAsia="en-GB"/>
              </w:rPr>
              <w:t>Indication that the UE has idle/inactive measurement report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iCs/>
              </w:rPr>
            </w:pPr>
            <w:r>
              <w:rPr>
                <w:b/>
                <w:bCs/>
                <w:i/>
                <w:iCs/>
              </w:rPr>
              <w:t>measConfigReportAppLayerAvailable</w:t>
            </w:r>
          </w:p>
          <w:p>
            <w:pPr>
              <w:pStyle w:val="63"/>
              <w:rPr>
                <w:b/>
                <w:bCs/>
                <w:i/>
                <w:lang w:eastAsia="en-GB"/>
              </w:rPr>
            </w:pPr>
            <w:r>
              <w:rPr>
                <w:lang w:eastAsia="en-GB"/>
              </w:rPr>
              <w:t xml:space="preserve">Indication that the UE has stored one or more application layer measurement reports while the UE was in RRC_IDLE/RRC_INACTIVE state and/or that the UE is configured with at least one application layer measurement configuration with </w:t>
            </w:r>
            <w:r>
              <w:rPr>
                <w:i/>
                <w:iCs/>
                <w:lang w:eastAsia="en-GB"/>
              </w:rPr>
              <w:t>configforRRC-IdleInactive</w:t>
            </w:r>
            <w:r>
              <w:rPr>
                <w:lang w:eastAsia="en-GB"/>
              </w:rPr>
              <w:t xml:space="preserve"> set to </w:t>
            </w:r>
            <w:r>
              <w:rPr>
                <w:i/>
                <w:iCs/>
                <w:lang w:eastAsia="en-GB"/>
              </w:rPr>
              <w:t>true</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szCs w:val="22"/>
                <w:lang w:eastAsia="sv-SE"/>
              </w:rPr>
            </w:pPr>
            <w:r>
              <w:rPr>
                <w:b/>
                <w:i/>
                <w:szCs w:val="22"/>
                <w:lang w:eastAsia="sv-SE"/>
              </w:rPr>
              <w:t>measResultIdleEUTRA</w:t>
            </w:r>
          </w:p>
          <w:p>
            <w:pPr>
              <w:pStyle w:val="63"/>
              <w:rPr>
                <w:b/>
                <w:i/>
                <w:szCs w:val="22"/>
                <w:lang w:eastAsia="sv-SE"/>
              </w:rPr>
            </w:pPr>
            <w:r>
              <w:rPr>
                <w:bCs/>
                <w:iCs/>
                <w:lang w:eastAsia="ko-KR"/>
              </w:rPr>
              <w:t>EUTRA measurement results performed during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szCs w:val="22"/>
                <w:lang w:eastAsia="sv-SE"/>
              </w:rPr>
            </w:pPr>
            <w:r>
              <w:rPr>
                <w:b/>
                <w:i/>
                <w:szCs w:val="22"/>
                <w:lang w:eastAsia="sv-SE"/>
              </w:rPr>
              <w:t>measResultIdleNR</w:t>
            </w:r>
          </w:p>
          <w:p>
            <w:pPr>
              <w:pStyle w:val="63"/>
              <w:rPr>
                <w:b/>
                <w:i/>
                <w:szCs w:val="22"/>
                <w:lang w:eastAsia="sv-SE"/>
              </w:rPr>
            </w:pPr>
            <w:r>
              <w:rPr>
                <w:bCs/>
                <w:iCs/>
                <w:lang w:eastAsia="ko-KR"/>
              </w:rPr>
              <w:t>NR measurement results performed during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i/>
                <w:szCs w:val="22"/>
                <w:lang w:eastAsia="sv-SE"/>
              </w:rPr>
            </w:pPr>
            <w:r>
              <w:rPr>
                <w:b/>
                <w:i/>
                <w:szCs w:val="22"/>
                <w:lang w:eastAsia="sv-SE"/>
              </w:rPr>
              <w:t>musim-CapRestrictionInd</w:t>
            </w:r>
          </w:p>
          <w:p>
            <w:pPr>
              <w:pStyle w:val="63"/>
              <w:rPr>
                <w:b/>
                <w:i/>
                <w:szCs w:val="22"/>
                <w:lang w:eastAsia="sv-SE"/>
              </w:rPr>
            </w:pPr>
            <w:r>
              <w:rPr>
                <w:lang w:eastAsia="en-GB"/>
              </w:rPr>
              <w:t>This field indicates the UE temporary capability restriction due to MUSIM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iCs/>
              </w:rPr>
            </w:pPr>
            <w:r>
              <w:rPr>
                <w:b/>
                <w:bCs/>
                <w:i/>
                <w:iCs/>
              </w:rPr>
              <w:t>needForGapsInfoNR</w:t>
            </w:r>
          </w:p>
          <w:p>
            <w:pPr>
              <w:pStyle w:val="63"/>
              <w:rPr>
                <w:b/>
                <w:i/>
                <w:szCs w:val="22"/>
                <w:lang w:eastAsia="sv-SE"/>
              </w:rPr>
            </w:pPr>
            <w:r>
              <w:rPr>
                <w:szCs w:val="22"/>
              </w:rPr>
              <w:t>This field is used to indicate the measurement gap requirement information of the UE for NR target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iCs/>
              </w:rPr>
            </w:pPr>
            <w:r>
              <w:rPr>
                <w:b/>
                <w:bCs/>
                <w:i/>
                <w:iCs/>
              </w:rPr>
              <w:t>needForGapNCSG-InfoEUTRA</w:t>
            </w:r>
          </w:p>
          <w:p>
            <w:pPr>
              <w:pStyle w:val="63"/>
              <w:rPr>
                <w:b/>
                <w:bCs/>
                <w:i/>
                <w:iCs/>
              </w:rPr>
            </w:pPr>
            <w:r>
              <w:rPr>
                <w:szCs w:val="22"/>
              </w:rPr>
              <w:t>This field is used to indicate the measurement gap and NCSG requirement information of the UE for E</w:t>
            </w:r>
            <w:r>
              <w:rPr>
                <w:szCs w:val="22"/>
              </w:rPr>
              <w:noBreakHyphen/>
            </w:r>
            <w:r>
              <w:rPr>
                <w:szCs w:val="22"/>
              </w:rPr>
              <w:t>UTRA target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iCs/>
              </w:rPr>
            </w:pPr>
            <w:r>
              <w:rPr>
                <w:b/>
                <w:bCs/>
                <w:i/>
                <w:iCs/>
              </w:rPr>
              <w:t>needForGapNCSG-InfoNR</w:t>
            </w:r>
          </w:p>
          <w:p>
            <w:pPr>
              <w:pStyle w:val="63"/>
              <w:rPr>
                <w:b/>
                <w:bCs/>
                <w:i/>
                <w:iCs/>
              </w:rPr>
            </w:pPr>
            <w:r>
              <w:rPr>
                <w:szCs w:val="22"/>
              </w:rPr>
              <w:t>This field is used to indicate the measurement gap and NCSG requirement information of the UE for NR target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iCs/>
              </w:rPr>
            </w:pPr>
            <w:r>
              <w:rPr>
                <w:b/>
                <w:bCs/>
                <w:i/>
                <w:iCs/>
              </w:rPr>
              <w:t>needForInterruptionInfoNR</w:t>
            </w:r>
          </w:p>
          <w:p>
            <w:pPr>
              <w:pStyle w:val="63"/>
            </w:pPr>
            <w:r>
              <w:rPr>
                <w:szCs w:val="22"/>
              </w:rPr>
              <w:t>This field indicates whether interruption is needed while performing measurement on NR target bands without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i/>
                <w:szCs w:val="22"/>
                <w:lang w:eastAsia="sv-SE"/>
              </w:rPr>
            </w:pPr>
            <w:r>
              <w:rPr>
                <w:b/>
                <w:i/>
                <w:szCs w:val="22"/>
                <w:lang w:eastAsia="sv-SE"/>
              </w:rPr>
              <w:t>selectedPLMN-Identity</w:t>
            </w:r>
          </w:p>
          <w:p>
            <w:pPr>
              <w:pStyle w:val="63"/>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szCs w:val="22"/>
                <w:lang w:eastAsia="sv-SE"/>
              </w:rPr>
            </w:pPr>
            <w:r>
              <w:rPr>
                <w:b/>
                <w:i/>
                <w:szCs w:val="22"/>
                <w:lang w:eastAsia="sv-SE"/>
              </w:rPr>
              <w:t>uplinkTxDirectCurrentList</w:t>
            </w:r>
          </w:p>
          <w:p>
            <w:pPr>
              <w:pStyle w:val="63"/>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i/>
                <w:szCs w:val="22"/>
                <w:lang w:eastAsia="sv-SE"/>
              </w:rPr>
            </w:pPr>
            <w:r>
              <w:rPr>
                <w:b/>
                <w:i/>
                <w:szCs w:val="22"/>
                <w:lang w:eastAsia="sv-SE"/>
              </w:rPr>
              <w:t>uplinkTxDirectCurrentMoreCarrierList</w:t>
            </w:r>
          </w:p>
          <w:p>
            <w:pPr>
              <w:pStyle w:val="63"/>
              <w:rPr>
                <w:bCs/>
                <w:iCs/>
                <w:szCs w:val="22"/>
                <w:lang w:eastAsia="sv-SE"/>
              </w:rPr>
            </w:pPr>
            <w:r>
              <w:rPr>
                <w:bCs/>
                <w:iCs/>
                <w:szCs w:val="22"/>
                <w:lang w:eastAsia="sv-SE"/>
              </w:rPr>
              <w:t>The Tx Direct Current locations for the configured intra-band CA requested by</w:t>
            </w:r>
            <w:r>
              <w:rPr>
                <w:bCs/>
                <w:i/>
                <w:szCs w:val="22"/>
                <w:lang w:eastAsia="sv-SE"/>
              </w:rPr>
              <w:t xml:space="preserve"> reportUplinkTxDirectCurrentMoreCarrier-r17</w:t>
            </w:r>
            <w:r>
              <w:rPr>
                <w:bCs/>
                <w:iCs/>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i/>
                <w:szCs w:val="22"/>
                <w:lang w:eastAsia="sv-SE"/>
              </w:rPr>
            </w:pPr>
            <w:r>
              <w:rPr>
                <w:b/>
                <w:i/>
                <w:szCs w:val="22"/>
                <w:lang w:eastAsia="sv-SE"/>
              </w:rPr>
              <w:t>uplinkTxDirectCurrentTwoCarrierList</w:t>
            </w:r>
          </w:p>
          <w:p>
            <w:pPr>
              <w:pStyle w:val="63"/>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bookmarkEnd w:id="0"/>
    </w:tbl>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Yu Mincho">
    <w:altName w:val="MS Mincho"/>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13309E"/>
    <w:multiLevelType w:val="multilevel"/>
    <w:tmpl w:val="1113309E"/>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E6C3AA4"/>
    <w:multiLevelType w:val="multilevel"/>
    <w:tmpl w:val="1E6C3AA4"/>
    <w:lvl w:ilvl="0" w:tentative="0">
      <w:start w:val="1"/>
      <w:numFmt w:val="decimal"/>
      <w:pStyle w:val="6"/>
      <w:lvlText w:val="%1"/>
      <w:lvlJc w:val="left"/>
      <w:pPr>
        <w:tabs>
          <w:tab w:val="left" w:pos="432"/>
        </w:tabs>
        <w:ind w:left="432" w:hanging="432"/>
      </w:pPr>
    </w:lvl>
    <w:lvl w:ilvl="1" w:tentative="0">
      <w:start w:val="1"/>
      <w:numFmt w:val="decimal"/>
      <w:pStyle w:val="7"/>
      <w:lvlText w:val="%1.%2"/>
      <w:lvlJc w:val="left"/>
      <w:pPr>
        <w:tabs>
          <w:tab w:val="left" w:pos="576"/>
        </w:tabs>
        <w:ind w:left="576" w:hanging="576"/>
      </w:pPr>
    </w:lvl>
    <w:lvl w:ilvl="2" w:tentative="0">
      <w:start w:val="1"/>
      <w:numFmt w:val="decimal"/>
      <w:pStyle w:val="8"/>
      <w:lvlText w:val="%1.%2.%3"/>
      <w:lvlJc w:val="left"/>
      <w:pPr>
        <w:tabs>
          <w:tab w:val="left" w:pos="2421"/>
        </w:tabs>
        <w:ind w:left="2421" w:hanging="720"/>
      </w:pPr>
    </w:lvl>
    <w:lvl w:ilvl="3" w:tentative="0">
      <w:start w:val="1"/>
      <w:numFmt w:val="decimal"/>
      <w:pStyle w:val="9"/>
      <w:lvlText w:val="%1.%2.%3.%4"/>
      <w:lvlJc w:val="left"/>
      <w:pPr>
        <w:tabs>
          <w:tab w:val="left" w:pos="864"/>
        </w:tabs>
        <w:ind w:left="864" w:hanging="864"/>
      </w:pPr>
    </w:lvl>
    <w:lvl w:ilvl="4" w:tentative="0">
      <w:start w:val="1"/>
      <w:numFmt w:val="decimal"/>
      <w:pStyle w:val="10"/>
      <w:lvlText w:val="%1.%2.%3.%4.%5"/>
      <w:lvlJc w:val="left"/>
      <w:pPr>
        <w:tabs>
          <w:tab w:val="left" w:pos="1008"/>
        </w:tabs>
        <w:ind w:left="1008" w:hanging="1008"/>
      </w:pPr>
    </w:lvl>
    <w:lvl w:ilvl="5" w:tentative="0">
      <w:start w:val="1"/>
      <w:numFmt w:val="decimal"/>
      <w:pStyle w:val="11"/>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abstractNum w:abstractNumId="2">
    <w:nsid w:val="4D435891"/>
    <w:multiLevelType w:val="multilevel"/>
    <w:tmpl w:val="4D435891"/>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53"/>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4">
    <w:nsid w:val="70146DC0"/>
    <w:multiLevelType w:val="multilevel"/>
    <w:tmpl w:val="70146DC0"/>
    <w:lvl w:ilvl="0" w:tentative="0">
      <w:start w:val="1"/>
      <w:numFmt w:val="bullet"/>
      <w:pStyle w:val="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7B634D"/>
    <w:rsid w:val="01983C00"/>
    <w:rsid w:val="01B83F92"/>
    <w:rsid w:val="01D07C64"/>
    <w:rsid w:val="023D413A"/>
    <w:rsid w:val="027C74A2"/>
    <w:rsid w:val="02B04479"/>
    <w:rsid w:val="03204EF3"/>
    <w:rsid w:val="035F6345"/>
    <w:rsid w:val="036F0609"/>
    <w:rsid w:val="038012CE"/>
    <w:rsid w:val="03EC63FF"/>
    <w:rsid w:val="04AF39C2"/>
    <w:rsid w:val="04D95C99"/>
    <w:rsid w:val="04DA2804"/>
    <w:rsid w:val="05056C32"/>
    <w:rsid w:val="050C7E9C"/>
    <w:rsid w:val="050D042B"/>
    <w:rsid w:val="05102CDE"/>
    <w:rsid w:val="05393890"/>
    <w:rsid w:val="055B0314"/>
    <w:rsid w:val="055B66F6"/>
    <w:rsid w:val="055E085F"/>
    <w:rsid w:val="056C5769"/>
    <w:rsid w:val="05793EF1"/>
    <w:rsid w:val="05B5126E"/>
    <w:rsid w:val="0600145B"/>
    <w:rsid w:val="06041631"/>
    <w:rsid w:val="062C692E"/>
    <w:rsid w:val="066F12AC"/>
    <w:rsid w:val="06A23CB0"/>
    <w:rsid w:val="074148BC"/>
    <w:rsid w:val="07503873"/>
    <w:rsid w:val="07616D2B"/>
    <w:rsid w:val="07857D1F"/>
    <w:rsid w:val="07A0301B"/>
    <w:rsid w:val="07E91F9A"/>
    <w:rsid w:val="082C76F8"/>
    <w:rsid w:val="08683CDA"/>
    <w:rsid w:val="09047D11"/>
    <w:rsid w:val="097F7A7F"/>
    <w:rsid w:val="09B155B4"/>
    <w:rsid w:val="09E46A49"/>
    <w:rsid w:val="0A0749B5"/>
    <w:rsid w:val="0A2841C5"/>
    <w:rsid w:val="0A2D48BF"/>
    <w:rsid w:val="0A8D68A3"/>
    <w:rsid w:val="0B227DC0"/>
    <w:rsid w:val="0BD124F8"/>
    <w:rsid w:val="0BE74F15"/>
    <w:rsid w:val="0C052F39"/>
    <w:rsid w:val="0C22507E"/>
    <w:rsid w:val="0C2D157B"/>
    <w:rsid w:val="0C33039E"/>
    <w:rsid w:val="0C547E93"/>
    <w:rsid w:val="0C5C168D"/>
    <w:rsid w:val="0CC108F6"/>
    <w:rsid w:val="0CEA6B3D"/>
    <w:rsid w:val="0D031E58"/>
    <w:rsid w:val="0DA7410A"/>
    <w:rsid w:val="0DC64554"/>
    <w:rsid w:val="0DCD2168"/>
    <w:rsid w:val="0DDC55E4"/>
    <w:rsid w:val="0E374DC2"/>
    <w:rsid w:val="0EC94F48"/>
    <w:rsid w:val="0F55715B"/>
    <w:rsid w:val="0F66535D"/>
    <w:rsid w:val="0F9C07E4"/>
    <w:rsid w:val="0FD9610F"/>
    <w:rsid w:val="100706CE"/>
    <w:rsid w:val="10DD7F3C"/>
    <w:rsid w:val="111300D3"/>
    <w:rsid w:val="11206940"/>
    <w:rsid w:val="11211C78"/>
    <w:rsid w:val="12013E3F"/>
    <w:rsid w:val="124A3CE9"/>
    <w:rsid w:val="12687916"/>
    <w:rsid w:val="126D118C"/>
    <w:rsid w:val="126D4E72"/>
    <w:rsid w:val="12B368BB"/>
    <w:rsid w:val="12B8525D"/>
    <w:rsid w:val="13113D52"/>
    <w:rsid w:val="138701F0"/>
    <w:rsid w:val="139C67BB"/>
    <w:rsid w:val="13C156F5"/>
    <w:rsid w:val="13EE573C"/>
    <w:rsid w:val="13FC2057"/>
    <w:rsid w:val="14732F9B"/>
    <w:rsid w:val="147C5356"/>
    <w:rsid w:val="14B32D4F"/>
    <w:rsid w:val="14E414C7"/>
    <w:rsid w:val="152650F1"/>
    <w:rsid w:val="15663828"/>
    <w:rsid w:val="162D57EF"/>
    <w:rsid w:val="16A05B2E"/>
    <w:rsid w:val="16F02D5C"/>
    <w:rsid w:val="1728269E"/>
    <w:rsid w:val="17390A24"/>
    <w:rsid w:val="17C859A3"/>
    <w:rsid w:val="18C871B7"/>
    <w:rsid w:val="18E629FF"/>
    <w:rsid w:val="19391469"/>
    <w:rsid w:val="194C364D"/>
    <w:rsid w:val="198048E1"/>
    <w:rsid w:val="1A0176E3"/>
    <w:rsid w:val="1A6E40CC"/>
    <w:rsid w:val="1A9205E4"/>
    <w:rsid w:val="1AA85E12"/>
    <w:rsid w:val="1AFC50D3"/>
    <w:rsid w:val="1B245BE1"/>
    <w:rsid w:val="1B29770E"/>
    <w:rsid w:val="1B5C41F3"/>
    <w:rsid w:val="1C4C3AFB"/>
    <w:rsid w:val="1CDA303E"/>
    <w:rsid w:val="1D1C09B2"/>
    <w:rsid w:val="1D6A29AD"/>
    <w:rsid w:val="1D831296"/>
    <w:rsid w:val="1DE32317"/>
    <w:rsid w:val="1E4C6AC4"/>
    <w:rsid w:val="1E537BB7"/>
    <w:rsid w:val="1E627A78"/>
    <w:rsid w:val="1EB33EEA"/>
    <w:rsid w:val="1F354C71"/>
    <w:rsid w:val="1F612D89"/>
    <w:rsid w:val="1F94485C"/>
    <w:rsid w:val="1F9B1C69"/>
    <w:rsid w:val="20546E99"/>
    <w:rsid w:val="20867481"/>
    <w:rsid w:val="2092477F"/>
    <w:rsid w:val="20D677C0"/>
    <w:rsid w:val="20FB599A"/>
    <w:rsid w:val="216D7D0B"/>
    <w:rsid w:val="21945AEE"/>
    <w:rsid w:val="21D54BC1"/>
    <w:rsid w:val="21F256EB"/>
    <w:rsid w:val="22193302"/>
    <w:rsid w:val="227B549E"/>
    <w:rsid w:val="22834F2F"/>
    <w:rsid w:val="228C7DBD"/>
    <w:rsid w:val="22C203EF"/>
    <w:rsid w:val="22C62F4D"/>
    <w:rsid w:val="22E6394F"/>
    <w:rsid w:val="22EE0D5B"/>
    <w:rsid w:val="231C07CF"/>
    <w:rsid w:val="23256CB7"/>
    <w:rsid w:val="23ED4655"/>
    <w:rsid w:val="241904B9"/>
    <w:rsid w:val="24527F0E"/>
    <w:rsid w:val="2469224B"/>
    <w:rsid w:val="247F45C9"/>
    <w:rsid w:val="249A775F"/>
    <w:rsid w:val="24E75661"/>
    <w:rsid w:val="252A6107"/>
    <w:rsid w:val="2577004A"/>
    <w:rsid w:val="25D84B5C"/>
    <w:rsid w:val="25DB04AA"/>
    <w:rsid w:val="264372D4"/>
    <w:rsid w:val="267008C4"/>
    <w:rsid w:val="26A3433D"/>
    <w:rsid w:val="26FE25FE"/>
    <w:rsid w:val="271C2980"/>
    <w:rsid w:val="277773B2"/>
    <w:rsid w:val="27FF5E1C"/>
    <w:rsid w:val="28035FBA"/>
    <w:rsid w:val="28366960"/>
    <w:rsid w:val="28680563"/>
    <w:rsid w:val="28BA773E"/>
    <w:rsid w:val="28ED67B2"/>
    <w:rsid w:val="28ED6C71"/>
    <w:rsid w:val="28F052A0"/>
    <w:rsid w:val="292E55D7"/>
    <w:rsid w:val="29524F49"/>
    <w:rsid w:val="298E0913"/>
    <w:rsid w:val="2A174F9B"/>
    <w:rsid w:val="2A324A20"/>
    <w:rsid w:val="2A93222D"/>
    <w:rsid w:val="2B032412"/>
    <w:rsid w:val="2BA801F9"/>
    <w:rsid w:val="2C44264B"/>
    <w:rsid w:val="2C6B57F0"/>
    <w:rsid w:val="2CA12446"/>
    <w:rsid w:val="2CB05AD1"/>
    <w:rsid w:val="2D9D13DE"/>
    <w:rsid w:val="2E8D23D3"/>
    <w:rsid w:val="2EB156AA"/>
    <w:rsid w:val="2F7703AE"/>
    <w:rsid w:val="2F880E4C"/>
    <w:rsid w:val="2FF03DD8"/>
    <w:rsid w:val="30196201"/>
    <w:rsid w:val="30736266"/>
    <w:rsid w:val="30970224"/>
    <w:rsid w:val="3102455F"/>
    <w:rsid w:val="313E3AD9"/>
    <w:rsid w:val="3197466D"/>
    <w:rsid w:val="31C74550"/>
    <w:rsid w:val="323B4FD1"/>
    <w:rsid w:val="32676917"/>
    <w:rsid w:val="32F27CB0"/>
    <w:rsid w:val="33510BFA"/>
    <w:rsid w:val="336C7166"/>
    <w:rsid w:val="33B035D3"/>
    <w:rsid w:val="33B11D60"/>
    <w:rsid w:val="33D3124E"/>
    <w:rsid w:val="34231BC2"/>
    <w:rsid w:val="34576B74"/>
    <w:rsid w:val="34887617"/>
    <w:rsid w:val="35134072"/>
    <w:rsid w:val="35342E46"/>
    <w:rsid w:val="35A04E3E"/>
    <w:rsid w:val="35B35FB1"/>
    <w:rsid w:val="35C673C5"/>
    <w:rsid w:val="35D91C1F"/>
    <w:rsid w:val="35F12B13"/>
    <w:rsid w:val="3622425C"/>
    <w:rsid w:val="36612E47"/>
    <w:rsid w:val="36737EBE"/>
    <w:rsid w:val="37034BCF"/>
    <w:rsid w:val="37402912"/>
    <w:rsid w:val="379C734C"/>
    <w:rsid w:val="37FC066A"/>
    <w:rsid w:val="381B569C"/>
    <w:rsid w:val="384634B9"/>
    <w:rsid w:val="38AA3C78"/>
    <w:rsid w:val="38C1331D"/>
    <w:rsid w:val="39202096"/>
    <w:rsid w:val="39846B39"/>
    <w:rsid w:val="398E19F0"/>
    <w:rsid w:val="39B83504"/>
    <w:rsid w:val="3A3E4582"/>
    <w:rsid w:val="3A6B5557"/>
    <w:rsid w:val="3A93394C"/>
    <w:rsid w:val="3AA54C74"/>
    <w:rsid w:val="3AAF284F"/>
    <w:rsid w:val="3AC1623A"/>
    <w:rsid w:val="3AC8077D"/>
    <w:rsid w:val="3B667382"/>
    <w:rsid w:val="3C9E707E"/>
    <w:rsid w:val="3CA36E5C"/>
    <w:rsid w:val="3CFE153A"/>
    <w:rsid w:val="3D1178D9"/>
    <w:rsid w:val="3D3E79D2"/>
    <w:rsid w:val="3D957616"/>
    <w:rsid w:val="3DA86637"/>
    <w:rsid w:val="3E0571DC"/>
    <w:rsid w:val="3E1673FC"/>
    <w:rsid w:val="3E1D0952"/>
    <w:rsid w:val="3E951C62"/>
    <w:rsid w:val="3EAA7E78"/>
    <w:rsid w:val="406A6750"/>
    <w:rsid w:val="408A1E32"/>
    <w:rsid w:val="40C32C93"/>
    <w:rsid w:val="40D31FE7"/>
    <w:rsid w:val="40D847C7"/>
    <w:rsid w:val="40EF253E"/>
    <w:rsid w:val="40FD4BFE"/>
    <w:rsid w:val="41046D58"/>
    <w:rsid w:val="4116684F"/>
    <w:rsid w:val="4117232C"/>
    <w:rsid w:val="413A36FE"/>
    <w:rsid w:val="417D0085"/>
    <w:rsid w:val="419F3CB9"/>
    <w:rsid w:val="41A171BC"/>
    <w:rsid w:val="41AB5E59"/>
    <w:rsid w:val="429A13C7"/>
    <w:rsid w:val="42A860EE"/>
    <w:rsid w:val="42B65E6E"/>
    <w:rsid w:val="43BD4175"/>
    <w:rsid w:val="43C845C3"/>
    <w:rsid w:val="44755B02"/>
    <w:rsid w:val="449B73F7"/>
    <w:rsid w:val="44CA7669"/>
    <w:rsid w:val="44CE65ED"/>
    <w:rsid w:val="44E91C4B"/>
    <w:rsid w:val="452751D7"/>
    <w:rsid w:val="45790E33"/>
    <w:rsid w:val="45833243"/>
    <w:rsid w:val="458F168C"/>
    <w:rsid w:val="45C76CD8"/>
    <w:rsid w:val="45CE42DB"/>
    <w:rsid w:val="46024594"/>
    <w:rsid w:val="46562673"/>
    <w:rsid w:val="465A48FC"/>
    <w:rsid w:val="465E142F"/>
    <w:rsid w:val="469D734C"/>
    <w:rsid w:val="46A21160"/>
    <w:rsid w:val="46B641EE"/>
    <w:rsid w:val="46E576CE"/>
    <w:rsid w:val="47FE58CB"/>
    <w:rsid w:val="484916ED"/>
    <w:rsid w:val="49271F07"/>
    <w:rsid w:val="49316F70"/>
    <w:rsid w:val="493E38CC"/>
    <w:rsid w:val="49A629D2"/>
    <w:rsid w:val="49D55CBF"/>
    <w:rsid w:val="4A2E2FF7"/>
    <w:rsid w:val="4A7111AE"/>
    <w:rsid w:val="4A8F4B67"/>
    <w:rsid w:val="4AA1340F"/>
    <w:rsid w:val="4ACA50C0"/>
    <w:rsid w:val="4AF41C7A"/>
    <w:rsid w:val="4B0E08CB"/>
    <w:rsid w:val="4B694BAE"/>
    <w:rsid w:val="4B7A5F9F"/>
    <w:rsid w:val="4B874579"/>
    <w:rsid w:val="4BDF7B8B"/>
    <w:rsid w:val="4C1B1096"/>
    <w:rsid w:val="4C416153"/>
    <w:rsid w:val="4C4904B0"/>
    <w:rsid w:val="4C6E02E7"/>
    <w:rsid w:val="4CA12AC0"/>
    <w:rsid w:val="4CDF7B86"/>
    <w:rsid w:val="4CEC1053"/>
    <w:rsid w:val="4D29163E"/>
    <w:rsid w:val="4D3529D2"/>
    <w:rsid w:val="4D7D7D31"/>
    <w:rsid w:val="4DB36E96"/>
    <w:rsid w:val="4DC34F12"/>
    <w:rsid w:val="4DCF06E6"/>
    <w:rsid w:val="4DE230D4"/>
    <w:rsid w:val="4E0A4B19"/>
    <w:rsid w:val="4E122007"/>
    <w:rsid w:val="4E481A72"/>
    <w:rsid w:val="4E69558B"/>
    <w:rsid w:val="4ED82367"/>
    <w:rsid w:val="4EE649A3"/>
    <w:rsid w:val="4F150CF1"/>
    <w:rsid w:val="4F214E7F"/>
    <w:rsid w:val="4FB27ACC"/>
    <w:rsid w:val="501A61F6"/>
    <w:rsid w:val="50913CF0"/>
    <w:rsid w:val="50C421FF"/>
    <w:rsid w:val="50E96661"/>
    <w:rsid w:val="520862D4"/>
    <w:rsid w:val="5226100A"/>
    <w:rsid w:val="522C35D5"/>
    <w:rsid w:val="526D6A4B"/>
    <w:rsid w:val="52DC6B8A"/>
    <w:rsid w:val="532E5504"/>
    <w:rsid w:val="535E532B"/>
    <w:rsid w:val="53757A2E"/>
    <w:rsid w:val="53D163CC"/>
    <w:rsid w:val="53FC0377"/>
    <w:rsid w:val="54424CE4"/>
    <w:rsid w:val="54720CB8"/>
    <w:rsid w:val="548C2B2D"/>
    <w:rsid w:val="54B30E83"/>
    <w:rsid w:val="55272E6B"/>
    <w:rsid w:val="554A267C"/>
    <w:rsid w:val="55646892"/>
    <w:rsid w:val="557F6DB5"/>
    <w:rsid w:val="559B1181"/>
    <w:rsid w:val="55CE07BA"/>
    <w:rsid w:val="55E34167"/>
    <w:rsid w:val="55EC1E85"/>
    <w:rsid w:val="56424E12"/>
    <w:rsid w:val="567D4EED"/>
    <w:rsid w:val="56B476CF"/>
    <w:rsid w:val="56EE5521"/>
    <w:rsid w:val="56FB45D8"/>
    <w:rsid w:val="57024A52"/>
    <w:rsid w:val="570C7D5E"/>
    <w:rsid w:val="57A722D7"/>
    <w:rsid w:val="57EF268E"/>
    <w:rsid w:val="57FE314A"/>
    <w:rsid w:val="58103C38"/>
    <w:rsid w:val="5819582E"/>
    <w:rsid w:val="582151B1"/>
    <w:rsid w:val="58917A0B"/>
    <w:rsid w:val="58E9513D"/>
    <w:rsid w:val="59870472"/>
    <w:rsid w:val="59961079"/>
    <w:rsid w:val="5A5B7BC9"/>
    <w:rsid w:val="5A950AB4"/>
    <w:rsid w:val="5AC86C0F"/>
    <w:rsid w:val="5AEA6650"/>
    <w:rsid w:val="5AF27EB2"/>
    <w:rsid w:val="5AF30605"/>
    <w:rsid w:val="5B301131"/>
    <w:rsid w:val="5B4C2D4E"/>
    <w:rsid w:val="5B6D428C"/>
    <w:rsid w:val="5C183FBD"/>
    <w:rsid w:val="5CB87D6C"/>
    <w:rsid w:val="5CCC024F"/>
    <w:rsid w:val="5CE110EE"/>
    <w:rsid w:val="5CEE6205"/>
    <w:rsid w:val="5D1365A7"/>
    <w:rsid w:val="5D192AB0"/>
    <w:rsid w:val="5D2E78CD"/>
    <w:rsid w:val="5D3C218A"/>
    <w:rsid w:val="5D534B53"/>
    <w:rsid w:val="5D6D249A"/>
    <w:rsid w:val="5E384614"/>
    <w:rsid w:val="5E4428C3"/>
    <w:rsid w:val="5E7D1F49"/>
    <w:rsid w:val="5E7F55FA"/>
    <w:rsid w:val="5EB1729B"/>
    <w:rsid w:val="5ED00919"/>
    <w:rsid w:val="5EEC0249"/>
    <w:rsid w:val="5EEE5E46"/>
    <w:rsid w:val="5F6E3C3C"/>
    <w:rsid w:val="5FA52946"/>
    <w:rsid w:val="5FC67262"/>
    <w:rsid w:val="5FF067F2"/>
    <w:rsid w:val="60015075"/>
    <w:rsid w:val="60603A0C"/>
    <w:rsid w:val="60A05983"/>
    <w:rsid w:val="60C53352"/>
    <w:rsid w:val="612E684E"/>
    <w:rsid w:val="61B06A72"/>
    <w:rsid w:val="61DD1D77"/>
    <w:rsid w:val="61E97C32"/>
    <w:rsid w:val="620D1467"/>
    <w:rsid w:val="625C58C6"/>
    <w:rsid w:val="629F3EDD"/>
    <w:rsid w:val="62BE4836"/>
    <w:rsid w:val="62E977D4"/>
    <w:rsid w:val="637A12C2"/>
    <w:rsid w:val="63F7410E"/>
    <w:rsid w:val="645E2BB9"/>
    <w:rsid w:val="64624491"/>
    <w:rsid w:val="64945292"/>
    <w:rsid w:val="64A7275A"/>
    <w:rsid w:val="64AC0F89"/>
    <w:rsid w:val="64D6157E"/>
    <w:rsid w:val="64FC2068"/>
    <w:rsid w:val="651975E8"/>
    <w:rsid w:val="653332DA"/>
    <w:rsid w:val="65387421"/>
    <w:rsid w:val="654059BD"/>
    <w:rsid w:val="65E16598"/>
    <w:rsid w:val="65EC3D12"/>
    <w:rsid w:val="65F262E6"/>
    <w:rsid w:val="66255886"/>
    <w:rsid w:val="66964D74"/>
    <w:rsid w:val="66A4531A"/>
    <w:rsid w:val="66B9705B"/>
    <w:rsid w:val="66F97F7F"/>
    <w:rsid w:val="6721372C"/>
    <w:rsid w:val="67CC7796"/>
    <w:rsid w:val="67D5684E"/>
    <w:rsid w:val="68883C29"/>
    <w:rsid w:val="68CD6916"/>
    <w:rsid w:val="69196036"/>
    <w:rsid w:val="691C1D5D"/>
    <w:rsid w:val="691D5EF5"/>
    <w:rsid w:val="692C4A1B"/>
    <w:rsid w:val="69CC49E6"/>
    <w:rsid w:val="69F11281"/>
    <w:rsid w:val="6A140B08"/>
    <w:rsid w:val="6A857679"/>
    <w:rsid w:val="6B6A0021"/>
    <w:rsid w:val="6C393366"/>
    <w:rsid w:val="6C521745"/>
    <w:rsid w:val="6C612657"/>
    <w:rsid w:val="6CFD6373"/>
    <w:rsid w:val="6D275220"/>
    <w:rsid w:val="6D286525"/>
    <w:rsid w:val="6D48513C"/>
    <w:rsid w:val="6D4F7FA3"/>
    <w:rsid w:val="6D506449"/>
    <w:rsid w:val="6D7917A7"/>
    <w:rsid w:val="6D8C2B97"/>
    <w:rsid w:val="6DA6752E"/>
    <w:rsid w:val="6DC569D3"/>
    <w:rsid w:val="6DE71136"/>
    <w:rsid w:val="6E2C4ACE"/>
    <w:rsid w:val="6E38504D"/>
    <w:rsid w:val="6E7B47DB"/>
    <w:rsid w:val="6E930FFA"/>
    <w:rsid w:val="6E9B2D3D"/>
    <w:rsid w:val="6EB611AF"/>
    <w:rsid w:val="6EC071A9"/>
    <w:rsid w:val="6F173C9B"/>
    <w:rsid w:val="6F2140E1"/>
    <w:rsid w:val="6FF63C97"/>
    <w:rsid w:val="6FFB1846"/>
    <w:rsid w:val="70643C03"/>
    <w:rsid w:val="708C3333"/>
    <w:rsid w:val="70B12FFC"/>
    <w:rsid w:val="70B679FB"/>
    <w:rsid w:val="70DD1A5F"/>
    <w:rsid w:val="71076500"/>
    <w:rsid w:val="715B5192"/>
    <w:rsid w:val="719D69F4"/>
    <w:rsid w:val="723658ED"/>
    <w:rsid w:val="723E7513"/>
    <w:rsid w:val="724B4ECB"/>
    <w:rsid w:val="724F4299"/>
    <w:rsid w:val="728905CB"/>
    <w:rsid w:val="72BC3989"/>
    <w:rsid w:val="72C21549"/>
    <w:rsid w:val="73811E6D"/>
    <w:rsid w:val="739E1901"/>
    <w:rsid w:val="73AA3251"/>
    <w:rsid w:val="73AE45B6"/>
    <w:rsid w:val="73B0019C"/>
    <w:rsid w:val="73C130D5"/>
    <w:rsid w:val="73DB09F5"/>
    <w:rsid w:val="7424513C"/>
    <w:rsid w:val="74851C6A"/>
    <w:rsid w:val="75980004"/>
    <w:rsid w:val="76442B95"/>
    <w:rsid w:val="765972B7"/>
    <w:rsid w:val="76B05C70"/>
    <w:rsid w:val="770B3534"/>
    <w:rsid w:val="77966CBE"/>
    <w:rsid w:val="77C80792"/>
    <w:rsid w:val="78295334"/>
    <w:rsid w:val="782E25A2"/>
    <w:rsid w:val="783A433D"/>
    <w:rsid w:val="78944651"/>
    <w:rsid w:val="78C04E74"/>
    <w:rsid w:val="79A2762D"/>
    <w:rsid w:val="79BB4461"/>
    <w:rsid w:val="79FE76BA"/>
    <w:rsid w:val="7A7B1000"/>
    <w:rsid w:val="7A8772A3"/>
    <w:rsid w:val="7AC06F0E"/>
    <w:rsid w:val="7B9D55F0"/>
    <w:rsid w:val="7C291FC0"/>
    <w:rsid w:val="7C573B71"/>
    <w:rsid w:val="7C64743A"/>
    <w:rsid w:val="7C941131"/>
    <w:rsid w:val="7CDB7866"/>
    <w:rsid w:val="7CDC41CA"/>
    <w:rsid w:val="7D0C0035"/>
    <w:rsid w:val="7D1A4DCC"/>
    <w:rsid w:val="7E5106CC"/>
    <w:rsid w:val="7EAB425E"/>
    <w:rsid w:val="7EC37AF9"/>
    <w:rsid w:val="7F0710F4"/>
    <w:rsid w:val="7F0F1D84"/>
    <w:rsid w:val="7F390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6">
    <w:name w:val="heading 1"/>
    <w:basedOn w:val="1"/>
    <w:next w:val="1"/>
    <w:link w:val="30"/>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7">
    <w:name w:val="heading 2"/>
    <w:basedOn w:val="6"/>
    <w:next w:val="1"/>
    <w:link w:val="31"/>
    <w:qFormat/>
    <w:uiPriority w:val="0"/>
    <w:pPr>
      <w:numPr>
        <w:ilvl w:val="1"/>
      </w:numPr>
      <w:pBdr>
        <w:top w:val="none" w:color="auto" w:sz="0" w:space="0"/>
      </w:pBdr>
      <w:spacing w:before="180"/>
      <w:outlineLvl w:val="1"/>
    </w:pPr>
    <w:rPr>
      <w:bCs w:val="0"/>
      <w:iCs/>
      <w:sz w:val="32"/>
      <w:szCs w:val="28"/>
    </w:rPr>
  </w:style>
  <w:style w:type="paragraph" w:styleId="8">
    <w:name w:val="heading 3"/>
    <w:basedOn w:val="7"/>
    <w:next w:val="1"/>
    <w:link w:val="32"/>
    <w:qFormat/>
    <w:uiPriority w:val="0"/>
    <w:pPr>
      <w:numPr>
        <w:ilvl w:val="2"/>
      </w:numPr>
      <w:tabs>
        <w:tab w:val="left" w:pos="720"/>
      </w:tabs>
      <w:spacing w:before="120" w:after="60"/>
      <w:ind w:left="720"/>
      <w:outlineLvl w:val="2"/>
    </w:pPr>
    <w:rPr>
      <w:bCs/>
      <w:sz w:val="28"/>
      <w:szCs w:val="26"/>
    </w:rPr>
  </w:style>
  <w:style w:type="paragraph" w:styleId="9">
    <w:name w:val="heading 4"/>
    <w:basedOn w:val="8"/>
    <w:next w:val="1"/>
    <w:link w:val="33"/>
    <w:qFormat/>
    <w:uiPriority w:val="0"/>
    <w:pPr>
      <w:numPr>
        <w:ilvl w:val="3"/>
      </w:numPr>
      <w:spacing w:before="240"/>
      <w:outlineLvl w:val="3"/>
    </w:pPr>
    <w:rPr>
      <w:bCs w:val="0"/>
      <w:sz w:val="24"/>
      <w:szCs w:val="28"/>
    </w:rPr>
  </w:style>
  <w:style w:type="paragraph" w:styleId="10">
    <w:name w:val="heading 5"/>
    <w:basedOn w:val="9"/>
    <w:next w:val="1"/>
    <w:link w:val="34"/>
    <w:qFormat/>
    <w:uiPriority w:val="0"/>
    <w:pPr>
      <w:numPr>
        <w:ilvl w:val="4"/>
      </w:numPr>
      <w:outlineLvl w:val="4"/>
    </w:pPr>
    <w:rPr>
      <w:bCs/>
      <w:iCs w:val="0"/>
      <w:sz w:val="22"/>
      <w:szCs w:val="26"/>
    </w:rPr>
  </w:style>
  <w:style w:type="paragraph" w:styleId="11">
    <w:name w:val="heading 6"/>
    <w:basedOn w:val="1"/>
    <w:next w:val="1"/>
    <w:link w:val="35"/>
    <w:qFormat/>
    <w:uiPriority w:val="0"/>
    <w:pPr>
      <w:numPr>
        <w:ilvl w:val="5"/>
        <w:numId w:val="1"/>
      </w:numPr>
      <w:spacing w:before="240" w:after="60"/>
      <w:outlineLvl w:val="5"/>
    </w:pPr>
    <w:rPr>
      <w:rFonts w:ascii="Arial" w:hAnsi="Arial"/>
      <w:bCs/>
      <w:szCs w:val="22"/>
    </w:rPr>
  </w:style>
  <w:style w:type="paragraph" w:styleId="12">
    <w:name w:val="heading 7"/>
    <w:basedOn w:val="1"/>
    <w:next w:val="1"/>
    <w:link w:val="36"/>
    <w:qFormat/>
    <w:uiPriority w:val="0"/>
    <w:pPr>
      <w:numPr>
        <w:ilvl w:val="6"/>
        <w:numId w:val="1"/>
      </w:numPr>
      <w:spacing w:before="240" w:after="60"/>
      <w:outlineLvl w:val="6"/>
    </w:pPr>
    <w:rPr>
      <w:rFonts w:ascii="Arial" w:hAnsi="Arial"/>
    </w:rPr>
  </w:style>
  <w:style w:type="paragraph" w:styleId="13">
    <w:name w:val="heading 8"/>
    <w:basedOn w:val="1"/>
    <w:next w:val="1"/>
    <w:link w:val="37"/>
    <w:qFormat/>
    <w:uiPriority w:val="0"/>
    <w:pPr>
      <w:numPr>
        <w:ilvl w:val="7"/>
        <w:numId w:val="1"/>
      </w:numPr>
      <w:spacing w:before="240" w:after="60"/>
      <w:outlineLvl w:val="7"/>
    </w:pPr>
    <w:rPr>
      <w:rFonts w:ascii="Arial" w:hAnsi="Arial"/>
      <w:iCs/>
    </w:rPr>
  </w:style>
  <w:style w:type="paragraph" w:styleId="14">
    <w:name w:val="heading 9"/>
    <w:basedOn w:val="1"/>
    <w:next w:val="1"/>
    <w:link w:val="38"/>
    <w:qFormat/>
    <w:uiPriority w:val="0"/>
    <w:pPr>
      <w:numPr>
        <w:ilvl w:val="8"/>
        <w:numId w:val="1"/>
      </w:numPr>
      <w:spacing w:before="240" w:after="60"/>
      <w:outlineLvl w:val="8"/>
    </w:pPr>
    <w:rPr>
      <w:rFonts w:ascii="Arial" w:hAnsi="Arial" w:cs="Arial"/>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annotation text"/>
    <w:basedOn w:val="1"/>
    <w:link w:val="50"/>
    <w:unhideWhenUsed/>
    <w:qFormat/>
    <w:uiPriority w:val="0"/>
  </w:style>
  <w:style w:type="paragraph" w:styleId="16">
    <w:name w:val="Body Text"/>
    <w:basedOn w:val="1"/>
    <w:link w:val="47"/>
    <w:unhideWhenUsed/>
    <w:qFormat/>
    <w:uiPriority w:val="99"/>
  </w:style>
  <w:style w:type="paragraph" w:styleId="17">
    <w:name w:val="Balloon Text"/>
    <w:basedOn w:val="1"/>
    <w:link w:val="52"/>
    <w:semiHidden/>
    <w:unhideWhenUsed/>
    <w:qFormat/>
    <w:uiPriority w:val="99"/>
    <w:pPr>
      <w:spacing w:after="0"/>
    </w:pPr>
    <w:rPr>
      <w:sz w:val="18"/>
      <w:szCs w:val="18"/>
    </w:rPr>
  </w:style>
  <w:style w:type="paragraph" w:styleId="18">
    <w:name w:val="footer"/>
    <w:basedOn w:val="1"/>
    <w:link w:val="49"/>
    <w:unhideWhenUsed/>
    <w:qFormat/>
    <w:uiPriority w:val="99"/>
    <w:pPr>
      <w:tabs>
        <w:tab w:val="center" w:pos="4153"/>
        <w:tab w:val="right" w:pos="8306"/>
      </w:tabs>
      <w:snapToGrid w:val="0"/>
    </w:pPr>
    <w:rPr>
      <w:sz w:val="18"/>
      <w:szCs w:val="18"/>
    </w:rPr>
  </w:style>
  <w:style w:type="paragraph" w:styleId="19">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1">
    <w:name w:val="annotation subject"/>
    <w:basedOn w:val="15"/>
    <w:next w:val="15"/>
    <w:link w:val="51"/>
    <w:semiHidden/>
    <w:unhideWhenUsed/>
    <w:qFormat/>
    <w:uiPriority w:val="99"/>
    <w:rPr>
      <w:b/>
      <w:bCs/>
    </w:rPr>
  </w:style>
  <w:style w:type="table" w:styleId="23">
    <w:name w:val="Table Grid"/>
    <w:basedOn w:val="22"/>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eastAsia="Times New Roman" w:cs="Courier New"/>
      <w:sz w:val="20"/>
      <w:szCs w:val="20"/>
    </w:rPr>
  </w:style>
  <w:style w:type="character" w:styleId="29">
    <w:name w:val="annotation reference"/>
    <w:basedOn w:val="24"/>
    <w:unhideWhenUsed/>
    <w:qFormat/>
    <w:uiPriority w:val="0"/>
    <w:rPr>
      <w:sz w:val="21"/>
      <w:szCs w:val="21"/>
    </w:rPr>
  </w:style>
  <w:style w:type="character" w:customStyle="1" w:styleId="30">
    <w:name w:val="Heading 1 Char"/>
    <w:basedOn w:val="24"/>
    <w:link w:val="6"/>
    <w:qFormat/>
    <w:uiPriority w:val="0"/>
    <w:rPr>
      <w:rFonts w:ascii="Arial" w:hAnsi="Arial" w:eastAsia="MS Mincho" w:cs="Arial"/>
      <w:bCs/>
      <w:kern w:val="0"/>
      <w:sz w:val="36"/>
      <w:szCs w:val="32"/>
      <w:lang w:eastAsia="ja-JP"/>
    </w:rPr>
  </w:style>
  <w:style w:type="character" w:customStyle="1" w:styleId="31">
    <w:name w:val="Heading 2 Char"/>
    <w:basedOn w:val="24"/>
    <w:link w:val="7"/>
    <w:qFormat/>
    <w:uiPriority w:val="0"/>
    <w:rPr>
      <w:rFonts w:ascii="Arial" w:hAnsi="Arial" w:eastAsia="MS Mincho" w:cs="Arial"/>
      <w:iCs/>
      <w:kern w:val="0"/>
      <w:sz w:val="32"/>
      <w:szCs w:val="28"/>
      <w:lang w:eastAsia="ja-JP"/>
    </w:rPr>
  </w:style>
  <w:style w:type="character" w:customStyle="1" w:styleId="32">
    <w:name w:val="Heading 3 Char"/>
    <w:basedOn w:val="24"/>
    <w:link w:val="8"/>
    <w:qFormat/>
    <w:uiPriority w:val="0"/>
    <w:rPr>
      <w:rFonts w:ascii="Arial" w:hAnsi="Arial" w:eastAsia="MS Mincho" w:cs="Arial"/>
      <w:bCs/>
      <w:iCs/>
      <w:kern w:val="0"/>
      <w:sz w:val="28"/>
      <w:szCs w:val="26"/>
      <w:lang w:eastAsia="ja-JP"/>
    </w:rPr>
  </w:style>
  <w:style w:type="character" w:customStyle="1" w:styleId="33">
    <w:name w:val="Heading 4 Char"/>
    <w:basedOn w:val="24"/>
    <w:link w:val="9"/>
    <w:qFormat/>
    <w:uiPriority w:val="0"/>
    <w:rPr>
      <w:rFonts w:ascii="Arial" w:hAnsi="Arial" w:eastAsia="MS Mincho" w:cs="Arial"/>
      <w:iCs/>
      <w:kern w:val="0"/>
      <w:sz w:val="24"/>
      <w:szCs w:val="28"/>
      <w:lang w:eastAsia="ja-JP"/>
    </w:rPr>
  </w:style>
  <w:style w:type="character" w:customStyle="1" w:styleId="34">
    <w:name w:val="Heading 5 Char"/>
    <w:basedOn w:val="24"/>
    <w:link w:val="10"/>
    <w:qFormat/>
    <w:uiPriority w:val="0"/>
    <w:rPr>
      <w:rFonts w:ascii="Arial" w:hAnsi="Arial" w:eastAsia="MS Mincho" w:cs="Arial"/>
      <w:bCs/>
      <w:kern w:val="0"/>
      <w:sz w:val="22"/>
      <w:szCs w:val="26"/>
      <w:lang w:eastAsia="ja-JP"/>
    </w:rPr>
  </w:style>
  <w:style w:type="character" w:customStyle="1" w:styleId="35">
    <w:name w:val="Heading 6 Char"/>
    <w:basedOn w:val="24"/>
    <w:link w:val="11"/>
    <w:qFormat/>
    <w:uiPriority w:val="0"/>
    <w:rPr>
      <w:rFonts w:ascii="Arial" w:hAnsi="Arial" w:eastAsia="MS Mincho" w:cs="Times New Roman"/>
      <w:bCs/>
      <w:kern w:val="0"/>
      <w:sz w:val="22"/>
      <w:lang w:eastAsia="ja-JP"/>
    </w:rPr>
  </w:style>
  <w:style w:type="character" w:customStyle="1" w:styleId="36">
    <w:name w:val="Heading 7 Char"/>
    <w:basedOn w:val="24"/>
    <w:link w:val="12"/>
    <w:qFormat/>
    <w:uiPriority w:val="0"/>
    <w:rPr>
      <w:rFonts w:ascii="Arial" w:hAnsi="Arial" w:eastAsia="MS Mincho" w:cs="Times New Roman"/>
      <w:kern w:val="0"/>
      <w:sz w:val="22"/>
      <w:szCs w:val="24"/>
      <w:lang w:eastAsia="ja-JP"/>
    </w:rPr>
  </w:style>
  <w:style w:type="character" w:customStyle="1" w:styleId="37">
    <w:name w:val="Heading 8 Char"/>
    <w:basedOn w:val="24"/>
    <w:link w:val="13"/>
    <w:qFormat/>
    <w:uiPriority w:val="0"/>
    <w:rPr>
      <w:rFonts w:ascii="Arial" w:hAnsi="Arial" w:eastAsia="MS Mincho" w:cs="Times New Roman"/>
      <w:iCs/>
      <w:kern w:val="0"/>
      <w:sz w:val="22"/>
      <w:szCs w:val="24"/>
      <w:lang w:eastAsia="ja-JP"/>
    </w:rPr>
  </w:style>
  <w:style w:type="character" w:customStyle="1" w:styleId="38">
    <w:name w:val="Heading 9 Char"/>
    <w:basedOn w:val="24"/>
    <w:link w:val="14"/>
    <w:qFormat/>
    <w:uiPriority w:val="0"/>
    <w:rPr>
      <w:rFonts w:ascii="Arial" w:hAnsi="Arial" w:eastAsia="MS Mincho" w:cs="Arial"/>
      <w:kern w:val="0"/>
      <w:sz w:val="22"/>
      <w:lang w:eastAsia="ja-JP"/>
    </w:rPr>
  </w:style>
  <w:style w:type="character" w:customStyle="1" w:styleId="39">
    <w:name w:val="List Paragraph Char"/>
    <w:link w:val="40"/>
    <w:qFormat/>
    <w:locked/>
    <w:uiPriority w:val="34"/>
    <w:rPr>
      <w:rFonts w:ascii="Calibri" w:hAnsi="Calibri" w:eastAsia="等线" w:cs="Arial"/>
    </w:rPr>
  </w:style>
  <w:style w:type="paragraph" w:styleId="40">
    <w:name w:val="List Paragraph"/>
    <w:basedOn w:val="1"/>
    <w:link w:val="39"/>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1">
    <w:name w:val="B1 Char1"/>
    <w:link w:val="42"/>
    <w:qFormat/>
    <w:uiPriority w:val="0"/>
    <w:rPr>
      <w:rFonts w:ascii="Arial" w:hAnsi="Arial" w:eastAsia="Arial Unicode MS"/>
      <w:lang w:val="en-GB" w:eastAsia="en-US"/>
    </w:rPr>
  </w:style>
  <w:style w:type="paragraph" w:customStyle="1" w:styleId="42">
    <w:name w:val="B1"/>
    <w:basedOn w:val="5"/>
    <w:link w:val="41"/>
    <w:qFormat/>
    <w:uiPriority w:val="0"/>
    <w:pPr>
      <w:spacing w:after="180"/>
      <w:jc w:val="both"/>
    </w:pPr>
    <w:rPr>
      <w:rFonts w:ascii="Arial" w:hAnsi="Arial" w:eastAsia="Arial Unicode MS" w:cstheme="minorBidi"/>
      <w:kern w:val="2"/>
      <w:sz w:val="21"/>
      <w:szCs w:val="22"/>
      <w:lang w:val="en-GB" w:eastAsia="en-US"/>
    </w:rPr>
  </w:style>
  <w:style w:type="character" w:customStyle="1" w:styleId="43">
    <w:name w:val="IvD bodytext Char"/>
    <w:link w:val="44"/>
    <w:qFormat/>
    <w:uiPriority w:val="0"/>
    <w:rPr>
      <w:rFonts w:ascii="Arial" w:hAnsi="Arial" w:eastAsia="宋体"/>
      <w:spacing w:val="2"/>
      <w:lang w:val="en-GB" w:eastAsia="en-US"/>
    </w:rPr>
  </w:style>
  <w:style w:type="paragraph" w:customStyle="1" w:styleId="44">
    <w:name w:val="IvD bodytext"/>
    <w:basedOn w:val="16"/>
    <w:link w:val="43"/>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Reference"/>
    <w:basedOn w:val="1"/>
    <w:qFormat/>
    <w:uiPriority w:val="0"/>
    <w:pPr>
      <w:numPr>
        <w:ilvl w:val="0"/>
        <w:numId w:val="2"/>
      </w:numPr>
      <w:tabs>
        <w:tab w:val="left" w:pos="1701"/>
      </w:tabs>
    </w:pPr>
  </w:style>
  <w:style w:type="character" w:customStyle="1" w:styleId="47">
    <w:name w:val="Body Text Char"/>
    <w:basedOn w:val="24"/>
    <w:link w:val="16"/>
    <w:qFormat/>
    <w:uiPriority w:val="99"/>
    <w:rPr>
      <w:rFonts w:ascii="Times New Roman" w:hAnsi="Times New Roman" w:eastAsia="MS Mincho" w:cs="Times New Roman"/>
      <w:kern w:val="0"/>
      <w:sz w:val="22"/>
      <w:szCs w:val="24"/>
      <w:lang w:eastAsia="ja-JP"/>
    </w:rPr>
  </w:style>
  <w:style w:type="character" w:customStyle="1" w:styleId="48">
    <w:name w:val="Header Char"/>
    <w:basedOn w:val="24"/>
    <w:link w:val="19"/>
    <w:qFormat/>
    <w:uiPriority w:val="99"/>
    <w:rPr>
      <w:rFonts w:ascii="Times New Roman" w:hAnsi="Times New Roman" w:eastAsia="MS Mincho" w:cs="Times New Roman"/>
      <w:kern w:val="0"/>
      <w:sz w:val="18"/>
      <w:szCs w:val="18"/>
      <w:lang w:eastAsia="ja-JP"/>
    </w:rPr>
  </w:style>
  <w:style w:type="character" w:customStyle="1" w:styleId="49">
    <w:name w:val="Footer Char"/>
    <w:basedOn w:val="24"/>
    <w:link w:val="18"/>
    <w:qFormat/>
    <w:uiPriority w:val="99"/>
    <w:rPr>
      <w:rFonts w:ascii="Times New Roman" w:hAnsi="Times New Roman" w:eastAsia="MS Mincho" w:cs="Times New Roman"/>
      <w:kern w:val="0"/>
      <w:sz w:val="18"/>
      <w:szCs w:val="18"/>
      <w:lang w:eastAsia="ja-JP"/>
    </w:rPr>
  </w:style>
  <w:style w:type="character" w:customStyle="1" w:styleId="50">
    <w:name w:val="Comment Text Char"/>
    <w:basedOn w:val="24"/>
    <w:link w:val="15"/>
    <w:qFormat/>
    <w:uiPriority w:val="0"/>
    <w:rPr>
      <w:rFonts w:ascii="Times New Roman" w:hAnsi="Times New Roman" w:eastAsia="MS Mincho" w:cs="Times New Roman"/>
      <w:kern w:val="0"/>
      <w:sz w:val="22"/>
      <w:szCs w:val="24"/>
      <w:lang w:eastAsia="ja-JP"/>
    </w:rPr>
  </w:style>
  <w:style w:type="character" w:customStyle="1" w:styleId="51">
    <w:name w:val="Comment Subject Char"/>
    <w:basedOn w:val="50"/>
    <w:link w:val="21"/>
    <w:semiHidden/>
    <w:qFormat/>
    <w:uiPriority w:val="99"/>
    <w:rPr>
      <w:rFonts w:ascii="Times New Roman" w:hAnsi="Times New Roman" w:eastAsia="MS Mincho" w:cs="Times New Roman"/>
      <w:b/>
      <w:bCs/>
      <w:kern w:val="0"/>
      <w:sz w:val="22"/>
      <w:szCs w:val="24"/>
      <w:lang w:eastAsia="ja-JP"/>
    </w:rPr>
  </w:style>
  <w:style w:type="character" w:customStyle="1" w:styleId="52">
    <w:name w:val="Balloon Text Char"/>
    <w:basedOn w:val="24"/>
    <w:link w:val="17"/>
    <w:semiHidden/>
    <w:qFormat/>
    <w:uiPriority w:val="99"/>
    <w:rPr>
      <w:rFonts w:ascii="Times New Roman" w:hAnsi="Times New Roman" w:eastAsia="MS Mincho" w:cs="Times New Roman"/>
      <w:kern w:val="0"/>
      <w:sz w:val="18"/>
      <w:szCs w:val="18"/>
      <w:lang w:eastAsia="ja-JP"/>
    </w:rPr>
  </w:style>
  <w:style w:type="paragraph" w:customStyle="1" w:styleId="53">
    <w:name w:val="Observation"/>
    <w:basedOn w:val="40"/>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4">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5">
    <w:name w:val="Agreement"/>
    <w:basedOn w:val="1"/>
    <w:next w:val="1"/>
    <w:qFormat/>
    <w:uiPriority w:val="99"/>
    <w:pPr>
      <w:numPr>
        <w:ilvl w:val="0"/>
        <w:numId w:val="4"/>
      </w:numPr>
      <w:spacing w:before="60" w:after="0"/>
    </w:pPr>
    <w:rPr>
      <w:rFonts w:ascii="Arial" w:hAnsi="Arial"/>
      <w:b/>
      <w:sz w:val="20"/>
      <w:lang w:val="en-GB" w:eastAsia="en-GB"/>
    </w:rPr>
  </w:style>
  <w:style w:type="paragraph" w:customStyle="1" w:styleId="56">
    <w:name w:val="列出段落2"/>
    <w:basedOn w:val="1"/>
    <w:qFormat/>
    <w:uiPriority w:val="0"/>
    <w:pPr>
      <w:spacing w:before="100" w:beforeAutospacing="1" w:after="180"/>
      <w:ind w:left="720"/>
      <w:contextualSpacing/>
    </w:pPr>
    <w:rPr>
      <w:rFonts w:eastAsia="宋体"/>
      <w:sz w:val="24"/>
      <w:lang w:eastAsia="zh-CN"/>
    </w:rPr>
  </w:style>
  <w:style w:type="paragraph" w:customStyle="1" w:styleId="57">
    <w:name w:val="Doc-title"/>
    <w:basedOn w:val="1"/>
    <w:next w:val="1"/>
    <w:link w:val="58"/>
    <w:qFormat/>
    <w:uiPriority w:val="0"/>
    <w:pPr>
      <w:spacing w:before="60" w:after="0"/>
      <w:ind w:left="1259" w:hanging="1259"/>
    </w:pPr>
    <w:rPr>
      <w:rFonts w:ascii="Arial" w:hAnsi="Arial"/>
      <w:sz w:val="20"/>
      <w:lang w:val="en-GB" w:eastAsia="en-GB"/>
    </w:rPr>
  </w:style>
  <w:style w:type="character" w:customStyle="1" w:styleId="58">
    <w:name w:val="Doc-title Char"/>
    <w:link w:val="57"/>
    <w:qFormat/>
    <w:uiPriority w:val="0"/>
    <w:rPr>
      <w:rFonts w:ascii="Arial" w:hAnsi="Arial" w:eastAsia="MS Mincho" w:cs="Times New Roman"/>
      <w:szCs w:val="24"/>
      <w:lang w:val="en-GB" w:eastAsia="en-GB"/>
    </w:rPr>
  </w:style>
  <w:style w:type="paragraph" w:customStyle="1" w:styleId="59">
    <w:name w:val="Doc-text2"/>
    <w:basedOn w:val="1"/>
    <w:link w:val="60"/>
    <w:qFormat/>
    <w:uiPriority w:val="0"/>
    <w:pPr>
      <w:tabs>
        <w:tab w:val="left" w:pos="1622"/>
      </w:tabs>
      <w:spacing w:after="0"/>
      <w:ind w:left="1622" w:hanging="363"/>
    </w:pPr>
    <w:rPr>
      <w:rFonts w:ascii="Calibri" w:hAnsi="Calibri" w:eastAsia="Calibri" w:cs="Calibri"/>
      <w:szCs w:val="22"/>
      <w:lang w:eastAsia="en-US"/>
    </w:rPr>
  </w:style>
  <w:style w:type="character" w:customStyle="1" w:styleId="60">
    <w:name w:val="Doc-text2 Char"/>
    <w:link w:val="59"/>
    <w:qFormat/>
    <w:uiPriority w:val="0"/>
    <w:rPr>
      <w:rFonts w:ascii="Calibri" w:hAnsi="Calibri" w:eastAsia="Calibri" w:cs="Calibri"/>
      <w:sz w:val="22"/>
      <w:szCs w:val="22"/>
      <w:lang w:eastAsia="en-US"/>
    </w:rPr>
  </w:style>
  <w:style w:type="paragraph" w:customStyle="1" w:styleId="61">
    <w:name w:val="TAH"/>
    <w:basedOn w:val="62"/>
    <w:link w:val="72"/>
    <w:qFormat/>
    <w:uiPriority w:val="0"/>
    <w:rPr>
      <w:b/>
    </w:rPr>
  </w:style>
  <w:style w:type="paragraph" w:customStyle="1" w:styleId="62">
    <w:name w:val="TAC"/>
    <w:basedOn w:val="63"/>
    <w:qFormat/>
    <w:uiPriority w:val="0"/>
    <w:pPr>
      <w:jc w:val="center"/>
    </w:pPr>
  </w:style>
  <w:style w:type="paragraph" w:customStyle="1" w:styleId="63">
    <w:name w:val="TAL"/>
    <w:basedOn w:val="1"/>
    <w:link w:val="71"/>
    <w:qFormat/>
    <w:uiPriority w:val="0"/>
    <w:pPr>
      <w:keepNext/>
      <w:keepLines/>
      <w:spacing w:after="0"/>
    </w:pPr>
    <w:rPr>
      <w:sz w:val="18"/>
    </w:rPr>
  </w:style>
  <w:style w:type="paragraph" w:customStyle="1" w:styleId="64">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6">
    <w:name w:val="TH Char"/>
    <w:link w:val="65"/>
    <w:qFormat/>
    <w:uiPriority w:val="0"/>
    <w:rPr>
      <w:rFonts w:ascii="Arial" w:hAnsi="Arial" w:eastAsia="Times New Roman"/>
      <w:b/>
      <w:lang w:val="en-GB"/>
    </w:rPr>
  </w:style>
  <w:style w:type="paragraph" w:customStyle="1" w:styleId="67">
    <w:name w:val="TF"/>
    <w:basedOn w:val="65"/>
    <w:link w:val="68"/>
    <w:qFormat/>
    <w:uiPriority w:val="0"/>
    <w:pPr>
      <w:keepNext w:val="0"/>
      <w:spacing w:before="0" w:after="240"/>
    </w:pPr>
  </w:style>
  <w:style w:type="character" w:customStyle="1" w:styleId="68">
    <w:name w:val="TF Char"/>
    <w:link w:val="67"/>
    <w:qFormat/>
    <w:uiPriority w:val="0"/>
    <w:rPr>
      <w:rFonts w:ascii="Arial" w:hAnsi="Arial" w:eastAsia="Times New Roman"/>
      <w:b/>
      <w:lang w:val="en-GB"/>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character" w:customStyle="1" w:styleId="71">
    <w:name w:val="TAL Car"/>
    <w:link w:val="63"/>
    <w:qFormat/>
    <w:uiPriority w:val="0"/>
    <w:rPr>
      <w:rFonts w:eastAsia="MS Mincho"/>
      <w:sz w:val="18"/>
      <w:szCs w:val="24"/>
      <w:lang w:eastAsia="ja-JP"/>
    </w:rPr>
  </w:style>
  <w:style w:type="character" w:customStyle="1" w:styleId="72">
    <w:name w:val="TAH Car"/>
    <w:link w:val="61"/>
    <w:qFormat/>
    <w:locked/>
    <w:uiPriority w:val="0"/>
    <w:rPr>
      <w:rFonts w:eastAsia="MS Mincho"/>
      <w:b/>
      <w:sz w:val="18"/>
      <w:szCs w:val="24"/>
      <w:lang w:eastAsia="ja-JP"/>
    </w:rPr>
  </w:style>
  <w:style w:type="character" w:customStyle="1" w:styleId="73">
    <w:name w:val="ng-star-inserted"/>
    <w:basedOn w:val="24"/>
    <w:qFormat/>
    <w:uiPriority w:val="0"/>
  </w:style>
  <w:style w:type="character" w:customStyle="1" w:styleId="74">
    <w:name w:val="italic"/>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20</TotalTime>
  <ScaleCrop>false</ScaleCrop>
  <LinksUpToDate>false</LinksUpToDate>
  <CharactersWithSpaces>10944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ZTE2</cp:lastModifiedBy>
  <dcterms:modified xsi:type="dcterms:W3CDTF">2025-08-15T06:04:38Z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E39DE3AD69BE43C79D825F00AFA71CF8</vt:lpwstr>
  </property>
</Properties>
</file>